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85E2" w14:textId="77777777" w:rsidR="009D2F51" w:rsidRPr="009D2F51" w:rsidRDefault="009D2F51" w:rsidP="009D2F51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bookmarkStart w:id="0" w:name="_Hlk90984399"/>
      <w:bookmarkEnd w:id="0"/>
      <w:r w:rsidRPr="009D2F51">
        <w:rPr>
          <w:rFonts w:ascii="Book Antiqua" w:eastAsia="Calibri" w:hAnsi="Book Antiqua" w:cs="Times New Roman"/>
        </w:rPr>
        <w:t xml:space="preserve">              </w:t>
      </w:r>
      <w:r w:rsidRPr="00F93EE2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1B5AF83B" wp14:editId="0BF19D3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FB73" w14:textId="77777777" w:rsidR="009D2F51" w:rsidRPr="00F93EE2" w:rsidRDefault="009D2F51" w:rsidP="009D2F51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1" w:name="_Hlk89767750"/>
      <w:bookmarkEnd w:id="1"/>
      <w:r w:rsidRPr="00F93EE2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FB46E80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08000AEE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4F292025" wp14:editId="77C30B1F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08EA2BE" wp14:editId="4B061DE0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04B00B8E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70B7F7D0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CAACD5D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1F954AB8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D6037D5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2F4AA8B1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5E365E9F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66D8EF2C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KLASA: 021-05/21-03/</w:t>
      </w:r>
      <w:r w:rsidRPr="009D2F51">
        <w:rPr>
          <w:rFonts w:ascii="Book Antiqua" w:eastAsiaTheme="minorEastAsia" w:hAnsi="Book Antiqua" w:cs="Times New Roman"/>
          <w:lang w:eastAsia="hr-HR"/>
        </w:rPr>
        <w:t>09</w:t>
      </w:r>
    </w:p>
    <w:p w14:paraId="2B5C5D07" w14:textId="1E87E18C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URBROJ: 2188/12-04-21</w:t>
      </w:r>
      <w:r w:rsidRPr="009D2F51">
        <w:rPr>
          <w:rFonts w:ascii="Book Antiqua" w:eastAsiaTheme="minorEastAsia" w:hAnsi="Book Antiqua" w:cs="Times New Roman"/>
          <w:lang w:eastAsia="hr-HR"/>
        </w:rPr>
        <w:t>-3</w:t>
      </w:r>
    </w:p>
    <w:p w14:paraId="11699A8E" w14:textId="77777777" w:rsidR="009D2F51" w:rsidRPr="00F93EE2" w:rsidRDefault="009D2F51" w:rsidP="009D2F51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Tovarnik,</w:t>
      </w:r>
      <w:r w:rsidRPr="009D2F51">
        <w:rPr>
          <w:rFonts w:ascii="Book Antiqua" w:eastAsiaTheme="minorEastAsia" w:hAnsi="Book Antiqua" w:cs="Times New Roman"/>
          <w:lang w:eastAsia="hr-HR"/>
        </w:rPr>
        <w:t xml:space="preserve"> 20</w:t>
      </w:r>
      <w:r w:rsidRPr="00F93EE2">
        <w:rPr>
          <w:rFonts w:ascii="Book Antiqua" w:eastAsiaTheme="minorEastAsia" w:hAnsi="Book Antiqua" w:cs="Times New Roman"/>
          <w:lang w:eastAsia="hr-HR"/>
        </w:rPr>
        <w:t xml:space="preserve">. prosinca  2021. </w:t>
      </w:r>
    </w:p>
    <w:p w14:paraId="7FD9A3AC" w14:textId="2E696937" w:rsidR="00571BF0" w:rsidRPr="009D2F51" w:rsidRDefault="00571BF0">
      <w:pPr>
        <w:rPr>
          <w:rFonts w:ascii="Book Antiqua" w:hAnsi="Book Antiqua"/>
        </w:rPr>
      </w:pPr>
    </w:p>
    <w:p w14:paraId="426DCCA9" w14:textId="0F0441AA" w:rsidR="009D2F51" w:rsidRPr="009D2F51" w:rsidRDefault="009D2F51" w:rsidP="009D2F5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Times New Roman"/>
        </w:rPr>
      </w:pPr>
      <w:r w:rsidRPr="009D2F51">
        <w:rPr>
          <w:rFonts w:ascii="Book Antiqua" w:eastAsia="Calibri" w:hAnsi="Book Antiqua" w:cs="Times New Roman"/>
        </w:rPr>
        <w:t xml:space="preserve">Na temelju </w:t>
      </w:r>
      <w:r w:rsidRPr="00FD144C">
        <w:rPr>
          <w:rFonts w:ascii="Book Antiqua" w:eastAsia="Calibri" w:hAnsi="Book Antiqua" w:cs="Calibri"/>
          <w:color w:val="000000"/>
        </w:rPr>
        <w:t>član</w:t>
      </w:r>
      <w:r>
        <w:rPr>
          <w:rFonts w:ascii="Book Antiqua" w:eastAsia="Calibri" w:hAnsi="Book Antiqua" w:cs="Calibri"/>
          <w:color w:val="000000"/>
        </w:rPr>
        <w:t xml:space="preserve">ka </w:t>
      </w:r>
      <w:r w:rsidRPr="00FD144C">
        <w:rPr>
          <w:rFonts w:ascii="Book Antiqua" w:eastAsia="Calibri" w:hAnsi="Book Antiqua" w:cs="Calibri"/>
          <w:color w:val="000000"/>
        </w:rPr>
        <w:t xml:space="preserve"> 11. stav</w:t>
      </w:r>
      <w:r w:rsidR="006654AE">
        <w:rPr>
          <w:rFonts w:ascii="Book Antiqua" w:eastAsia="Calibri" w:hAnsi="Book Antiqua" w:cs="Calibri"/>
          <w:color w:val="000000"/>
        </w:rPr>
        <w:t xml:space="preserve">ka </w:t>
      </w:r>
      <w:r w:rsidRPr="00FD144C">
        <w:rPr>
          <w:rFonts w:ascii="Book Antiqua" w:eastAsia="Calibri" w:hAnsi="Book Antiqua" w:cs="Calibri"/>
          <w:color w:val="000000"/>
        </w:rPr>
        <w:t xml:space="preserve"> 2</w:t>
      </w:r>
      <w:r w:rsidR="006654AE">
        <w:rPr>
          <w:rFonts w:ascii="Book Antiqua" w:eastAsia="Calibri" w:hAnsi="Book Antiqua" w:cs="Calibri"/>
          <w:color w:val="000000"/>
        </w:rPr>
        <w:t xml:space="preserve">. </w:t>
      </w:r>
      <w:r w:rsidRPr="00FD144C">
        <w:rPr>
          <w:rFonts w:ascii="Book Antiqua" w:eastAsia="Calibri" w:hAnsi="Book Antiqua" w:cs="Calibri"/>
          <w:color w:val="000000"/>
        </w:rPr>
        <w:t xml:space="preserve"> Zakona o poticanju razvoja malog gospodarstva ( Narodne novine br. 29/02, 63/07, 53/12, 56/13, 121/16 ) </w:t>
      </w:r>
      <w:r>
        <w:rPr>
          <w:rFonts w:ascii="Book Antiqua" w:eastAsia="Calibri" w:hAnsi="Book Antiqua" w:cs="Calibri"/>
          <w:color w:val="000000"/>
        </w:rPr>
        <w:t xml:space="preserve">te </w:t>
      </w:r>
      <w:r w:rsidRPr="009D2F51">
        <w:rPr>
          <w:rFonts w:ascii="Book Antiqua" w:eastAsia="Calibri" w:hAnsi="Book Antiqua" w:cs="Times New Roman"/>
        </w:rPr>
        <w:t>članka 31. Statuta</w:t>
      </w:r>
      <w:r w:rsidRPr="009D2F51">
        <w:rPr>
          <w:rFonts w:ascii="Book Antiqua" w:eastAsia="Calibri" w:hAnsi="Book Antiqua" w:cs="Times New Roman"/>
          <w:spacing w:val="1"/>
        </w:rPr>
        <w:t xml:space="preserve"> </w:t>
      </w:r>
      <w:r w:rsidRPr="009D2F51">
        <w:rPr>
          <w:rFonts w:ascii="Book Antiqua" w:eastAsia="Calibri" w:hAnsi="Book Antiqua" w:cs="Times New Roman"/>
        </w:rPr>
        <w:t xml:space="preserve">Općine Tovarnik  </w:t>
      </w:r>
      <w:r w:rsidRPr="009D2F51">
        <w:rPr>
          <w:rFonts w:ascii="Book Antiqua" w:eastAsia="Calibri" w:hAnsi="Book Antiqua" w:cs="Calibri"/>
          <w:color w:val="000000"/>
        </w:rPr>
        <w:t>(„Službeni vjesnik“  Vukovarsko-srijemske županije br. 3/21</w:t>
      </w:r>
      <w:r>
        <w:rPr>
          <w:rFonts w:ascii="Book Antiqua" w:eastAsia="Calibri" w:hAnsi="Book Antiqua" w:cs="Calibri"/>
          <w:color w:val="000000"/>
        </w:rPr>
        <w:t xml:space="preserve"> </w:t>
      </w:r>
      <w:r w:rsidRPr="009D2F51">
        <w:rPr>
          <w:rFonts w:ascii="Book Antiqua" w:eastAsia="Calibri" w:hAnsi="Book Antiqua" w:cs="Calibri"/>
          <w:color w:val="000000"/>
        </w:rPr>
        <w:t xml:space="preserve">) </w:t>
      </w:r>
      <w:r w:rsidRPr="009D2F51">
        <w:rPr>
          <w:rFonts w:ascii="Book Antiqua" w:eastAsia="Calibri" w:hAnsi="Book Antiqua" w:cs="Times New Roman"/>
        </w:rPr>
        <w:t xml:space="preserve">Općinsko vijeća Općine Tovarnik </w:t>
      </w:r>
      <w:r w:rsidRPr="009D2F51">
        <w:rPr>
          <w:rFonts w:ascii="Book Antiqua" w:eastAsia="Calibri" w:hAnsi="Book Antiqua" w:cs="Times New Roman"/>
          <w:spacing w:val="-1"/>
        </w:rPr>
        <w:t xml:space="preserve"> </w:t>
      </w:r>
      <w:r w:rsidRPr="009D2F51">
        <w:rPr>
          <w:rFonts w:ascii="Book Antiqua" w:eastAsia="Calibri" w:hAnsi="Book Antiqua" w:cs="Times New Roman"/>
        </w:rPr>
        <w:t>na</w:t>
      </w:r>
      <w:r w:rsidRPr="009D2F51">
        <w:rPr>
          <w:rFonts w:ascii="Book Antiqua" w:eastAsia="Calibri" w:hAnsi="Book Antiqua" w:cs="Times New Roman"/>
          <w:spacing w:val="-1"/>
        </w:rPr>
        <w:t xml:space="preserve"> </w:t>
      </w:r>
      <w:r w:rsidRPr="009D2F51">
        <w:rPr>
          <w:rFonts w:ascii="Book Antiqua" w:eastAsia="Calibri" w:hAnsi="Book Antiqua" w:cs="Times New Roman"/>
        </w:rPr>
        <w:t>svojoj 5. sjednici</w:t>
      </w:r>
      <w:r w:rsidRPr="009D2F51">
        <w:rPr>
          <w:rFonts w:ascii="Book Antiqua" w:eastAsia="Calibri" w:hAnsi="Book Antiqua" w:cs="Times New Roman"/>
          <w:spacing w:val="-1"/>
        </w:rPr>
        <w:t xml:space="preserve"> </w:t>
      </w:r>
      <w:r w:rsidRPr="009D2F51">
        <w:rPr>
          <w:rFonts w:ascii="Book Antiqua" w:eastAsia="Calibri" w:hAnsi="Book Antiqua" w:cs="Times New Roman"/>
        </w:rPr>
        <w:t>održanoj</w:t>
      </w:r>
      <w:r w:rsidRPr="009D2F51">
        <w:rPr>
          <w:rFonts w:ascii="Book Antiqua" w:eastAsia="Calibri" w:hAnsi="Book Antiqua" w:cs="Times New Roman"/>
          <w:spacing w:val="-1"/>
        </w:rPr>
        <w:t xml:space="preserve"> </w:t>
      </w:r>
      <w:r w:rsidRPr="009D2F51">
        <w:rPr>
          <w:rFonts w:ascii="Book Antiqua" w:eastAsia="Calibri" w:hAnsi="Book Antiqua" w:cs="Times New Roman"/>
        </w:rPr>
        <w:t>dana 20.12. 2021. godine, donosi</w:t>
      </w:r>
    </w:p>
    <w:p w14:paraId="0951468A" w14:textId="77777777" w:rsidR="009D2F51" w:rsidRPr="009D2F51" w:rsidRDefault="009D2F51" w:rsidP="009D2F5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Times New Roman"/>
        </w:rPr>
      </w:pPr>
    </w:p>
    <w:p w14:paraId="0E0BD921" w14:textId="77777777" w:rsidR="009D2F51" w:rsidRPr="009D2F51" w:rsidRDefault="009D2F51" w:rsidP="009D2F51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Book Antiqua" w:eastAsia="Calibri" w:hAnsi="Book Antiqua" w:cs="Calibri"/>
          <w:b/>
          <w:bCs/>
          <w:color w:val="000000"/>
        </w:rPr>
      </w:pPr>
      <w:r w:rsidRPr="009D2F51">
        <w:rPr>
          <w:rFonts w:ascii="Book Antiqua" w:eastAsia="Calibri" w:hAnsi="Book Antiqua" w:cs="Times New Roman"/>
          <w:b/>
          <w:bCs/>
        </w:rPr>
        <w:t xml:space="preserve">Odluku o </w:t>
      </w:r>
      <w:r w:rsidRPr="009D2F51">
        <w:rPr>
          <w:rFonts w:ascii="Book Antiqua" w:eastAsia="Calibri" w:hAnsi="Book Antiqua" w:cs="Times New Roman"/>
          <w:b/>
          <w:bCs/>
          <w:spacing w:val="-3"/>
          <w:u w:color="000000"/>
        </w:rPr>
        <w:t>izmjenama i dopunama programa poticanja razvoja poduzetništva na području Općine Tovarnik za 2021. god.</w:t>
      </w:r>
    </w:p>
    <w:p w14:paraId="779574EB" w14:textId="77777777" w:rsidR="009D2F51" w:rsidRPr="009D2F51" w:rsidRDefault="009D2F51" w:rsidP="009D2F51">
      <w:pPr>
        <w:jc w:val="center"/>
        <w:rPr>
          <w:rFonts w:ascii="Book Antiqua" w:hAnsi="Book Antiqua"/>
          <w:b/>
          <w:bCs/>
        </w:rPr>
      </w:pPr>
    </w:p>
    <w:p w14:paraId="3BB34279" w14:textId="77777777" w:rsidR="009D2F51" w:rsidRPr="009D2F51" w:rsidRDefault="009D2F51" w:rsidP="009D2F51">
      <w:pPr>
        <w:jc w:val="center"/>
        <w:rPr>
          <w:rFonts w:ascii="Book Antiqua" w:hAnsi="Book Antiqua"/>
          <w:b/>
          <w:bCs/>
        </w:rPr>
      </w:pPr>
      <w:r w:rsidRPr="009D2F51">
        <w:rPr>
          <w:rFonts w:ascii="Book Antiqua" w:hAnsi="Book Antiqua"/>
          <w:b/>
          <w:bCs/>
        </w:rPr>
        <w:t>Članak 1.</w:t>
      </w:r>
    </w:p>
    <w:p w14:paraId="6709F365" w14:textId="77777777" w:rsidR="009D2F51" w:rsidRPr="009D2F51" w:rsidRDefault="009D2F51" w:rsidP="009D2F51">
      <w:pPr>
        <w:rPr>
          <w:rFonts w:ascii="Book Antiqua" w:hAnsi="Book Antiqua"/>
        </w:rPr>
      </w:pPr>
      <w:r w:rsidRPr="009D2F51">
        <w:rPr>
          <w:rFonts w:ascii="Book Antiqua" w:hAnsi="Book Antiqua"/>
        </w:rPr>
        <w:t>Članak 11. mijenja se i glasi:</w:t>
      </w:r>
    </w:p>
    <w:p w14:paraId="03CB68EC" w14:textId="48D4EE70" w:rsidR="009D2F51" w:rsidRPr="009D2F51" w:rsidRDefault="00430C87" w:rsidP="009D2F51">
      <w:pPr>
        <w:pStyle w:val="Bezproreda"/>
        <w:spacing w:line="276" w:lineRule="auto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“ </w:t>
      </w:r>
      <w:proofErr w:type="spellStart"/>
      <w:r w:rsidR="009D2F51" w:rsidRPr="009D2F51">
        <w:rPr>
          <w:rFonts w:ascii="Book Antiqua" w:hAnsi="Book Antiqua"/>
          <w:bCs/>
        </w:rPr>
        <w:t>Korisnici</w:t>
      </w:r>
      <w:proofErr w:type="spellEnd"/>
      <w:r w:rsidR="009D2F51" w:rsidRPr="009D2F51">
        <w:rPr>
          <w:rFonts w:ascii="Book Antiqua" w:hAnsi="Book Antiqua"/>
          <w:bCs/>
        </w:rPr>
        <w:t xml:space="preserve"> </w:t>
      </w:r>
      <w:proofErr w:type="spellStart"/>
      <w:r w:rsidR="009D2F51" w:rsidRPr="009D2F51">
        <w:rPr>
          <w:rFonts w:ascii="Book Antiqua" w:hAnsi="Book Antiqua"/>
          <w:bCs/>
        </w:rPr>
        <w:t>potpore</w:t>
      </w:r>
      <w:proofErr w:type="spellEnd"/>
      <w:r w:rsidR="009D2F51" w:rsidRPr="009D2F51">
        <w:rPr>
          <w:rFonts w:ascii="Book Antiqua" w:hAnsi="Book Antiqua"/>
          <w:bCs/>
        </w:rPr>
        <w:t xml:space="preserve"> </w:t>
      </w:r>
      <w:proofErr w:type="spellStart"/>
      <w:r w:rsidR="009D2F51" w:rsidRPr="009D2F51">
        <w:rPr>
          <w:rFonts w:ascii="Book Antiqua" w:hAnsi="Book Antiqua"/>
          <w:bCs/>
        </w:rPr>
        <w:t>mogu</w:t>
      </w:r>
      <w:proofErr w:type="spellEnd"/>
      <w:r w:rsidR="009D2F51" w:rsidRPr="009D2F51">
        <w:rPr>
          <w:rFonts w:ascii="Book Antiqua" w:hAnsi="Book Antiqua"/>
          <w:bCs/>
        </w:rPr>
        <w:t xml:space="preserve"> </w:t>
      </w:r>
      <w:proofErr w:type="spellStart"/>
      <w:r w:rsidR="009D2F51" w:rsidRPr="009D2F51">
        <w:rPr>
          <w:rFonts w:ascii="Book Antiqua" w:hAnsi="Book Antiqua"/>
          <w:bCs/>
        </w:rPr>
        <w:t>biti</w:t>
      </w:r>
      <w:proofErr w:type="spellEnd"/>
      <w:r w:rsidR="009D2F51" w:rsidRPr="009D2F51">
        <w:rPr>
          <w:rFonts w:ascii="Book Antiqua" w:hAnsi="Book Antiqua"/>
          <w:bCs/>
        </w:rPr>
        <w:t xml:space="preserve"> </w:t>
      </w:r>
      <w:proofErr w:type="spellStart"/>
      <w:r w:rsidR="009D2F51" w:rsidRPr="009D2F51">
        <w:rPr>
          <w:rFonts w:ascii="Book Antiqua" w:hAnsi="Book Antiqua"/>
          <w:bCs/>
        </w:rPr>
        <w:t>poduzetnici</w:t>
      </w:r>
      <w:proofErr w:type="spellEnd"/>
      <w:r w:rsidR="009D2F51" w:rsidRPr="009D2F51">
        <w:rPr>
          <w:rFonts w:ascii="Book Antiqua" w:hAnsi="Book Antiqua"/>
          <w:bCs/>
        </w:rPr>
        <w:t xml:space="preserve"> </w:t>
      </w:r>
      <w:proofErr w:type="spellStart"/>
      <w:r w:rsidR="009D2F51" w:rsidRPr="009D2F51">
        <w:rPr>
          <w:rFonts w:ascii="Book Antiqua" w:hAnsi="Book Antiqua"/>
          <w:bCs/>
        </w:rPr>
        <w:t>sa</w:t>
      </w:r>
      <w:proofErr w:type="spellEnd"/>
      <w:r w:rsidR="009D2F51" w:rsidRPr="009D2F51">
        <w:rPr>
          <w:rFonts w:ascii="Book Antiqua" w:hAnsi="Book Antiqua"/>
          <w:bCs/>
        </w:rPr>
        <w:t xml:space="preserve"> </w:t>
      </w:r>
      <w:proofErr w:type="spellStart"/>
      <w:r w:rsidR="009D2F51" w:rsidRPr="009D2F51">
        <w:rPr>
          <w:rFonts w:ascii="Book Antiqua" w:hAnsi="Book Antiqua"/>
          <w:bCs/>
        </w:rPr>
        <w:t>sjedištem</w:t>
      </w:r>
      <w:proofErr w:type="spellEnd"/>
      <w:r w:rsidR="009D2F51" w:rsidRPr="009D2F51">
        <w:rPr>
          <w:rFonts w:ascii="Book Antiqua" w:hAnsi="Book Antiqua"/>
          <w:bCs/>
        </w:rPr>
        <w:t xml:space="preserve"> u </w:t>
      </w:r>
      <w:proofErr w:type="spellStart"/>
      <w:r w:rsidR="009D2F51" w:rsidRPr="009D2F51">
        <w:rPr>
          <w:rFonts w:ascii="Book Antiqua" w:hAnsi="Book Antiqua"/>
          <w:bCs/>
        </w:rPr>
        <w:t>Općini</w:t>
      </w:r>
      <w:proofErr w:type="spellEnd"/>
      <w:r w:rsidR="009D2F51" w:rsidRPr="009D2F51">
        <w:rPr>
          <w:rFonts w:ascii="Book Antiqua" w:hAnsi="Book Antiqua"/>
          <w:bCs/>
        </w:rPr>
        <w:t xml:space="preserve"> Tovarnik</w:t>
      </w:r>
      <w:r w:rsidR="009D2F51" w:rsidRPr="009D2F51">
        <w:rPr>
          <w:rFonts w:ascii="Book Antiqua" w:hAnsi="Book Antiqua"/>
        </w:rPr>
        <w:t xml:space="preserve">, a koji se </w:t>
      </w:r>
      <w:proofErr w:type="spellStart"/>
      <w:r w:rsidR="009D2F51" w:rsidRPr="009D2F51">
        <w:rPr>
          <w:rFonts w:ascii="Book Antiqua" w:hAnsi="Book Antiqua"/>
        </w:rPr>
        <w:t>sukladno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Zakonu</w:t>
      </w:r>
      <w:proofErr w:type="spellEnd"/>
      <w:r w:rsidR="009D2F51" w:rsidRPr="009D2F51">
        <w:rPr>
          <w:rFonts w:ascii="Book Antiqua" w:hAnsi="Book Antiqua"/>
        </w:rPr>
        <w:t xml:space="preserve"> o </w:t>
      </w:r>
      <w:proofErr w:type="spellStart"/>
      <w:r w:rsidR="009D2F51" w:rsidRPr="009D2F51">
        <w:rPr>
          <w:rFonts w:ascii="Book Antiqua" w:hAnsi="Book Antiqua"/>
        </w:rPr>
        <w:t>poticanju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razvoja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malog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gospodarstva</w:t>
      </w:r>
      <w:proofErr w:type="spellEnd"/>
      <w:r w:rsidR="009D2F51" w:rsidRPr="009D2F51">
        <w:rPr>
          <w:rFonts w:ascii="Book Antiqua" w:hAnsi="Book Antiqua"/>
        </w:rPr>
        <w:t xml:space="preserve"> („</w:t>
      </w:r>
      <w:proofErr w:type="spellStart"/>
      <w:r w:rsidR="009D2F51" w:rsidRPr="009D2F51">
        <w:rPr>
          <w:rFonts w:ascii="Book Antiqua" w:hAnsi="Book Antiqua"/>
        </w:rPr>
        <w:t>Narodne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novine</w:t>
      </w:r>
      <w:proofErr w:type="spellEnd"/>
      <w:r w:rsidR="009D2F51" w:rsidRPr="009D2F51">
        <w:rPr>
          <w:rFonts w:ascii="Book Antiqua" w:hAnsi="Book Antiqua"/>
        </w:rPr>
        <w:t xml:space="preserve">“ br. 29/02, 63/07, 53/12, 56/13 </w:t>
      </w:r>
      <w:proofErr w:type="spellStart"/>
      <w:r w:rsidR="009D2F51" w:rsidRPr="009D2F51">
        <w:rPr>
          <w:rFonts w:ascii="Book Antiqua" w:hAnsi="Book Antiqua"/>
        </w:rPr>
        <w:t>i</w:t>
      </w:r>
      <w:proofErr w:type="spellEnd"/>
      <w:r w:rsidR="009D2F51" w:rsidRPr="009D2F51">
        <w:rPr>
          <w:rFonts w:ascii="Book Antiqua" w:hAnsi="Book Antiqua"/>
        </w:rPr>
        <w:t xml:space="preserve"> 121/16) </w:t>
      </w:r>
      <w:proofErr w:type="spellStart"/>
      <w:r w:rsidR="009D2F51" w:rsidRPr="009D2F51">
        <w:rPr>
          <w:rFonts w:ascii="Book Antiqua" w:hAnsi="Book Antiqua"/>
        </w:rPr>
        <w:t>svrstavaju</w:t>
      </w:r>
      <w:proofErr w:type="spellEnd"/>
      <w:r w:rsidR="009D2F51" w:rsidRPr="009D2F51">
        <w:rPr>
          <w:rFonts w:ascii="Book Antiqua" w:hAnsi="Book Antiqua"/>
        </w:rPr>
        <w:t xml:space="preserve"> u </w:t>
      </w:r>
      <w:proofErr w:type="spellStart"/>
      <w:r w:rsidR="009D2F51" w:rsidRPr="009D2F51">
        <w:rPr>
          <w:rFonts w:ascii="Book Antiqua" w:hAnsi="Book Antiqua"/>
        </w:rPr>
        <w:t>mikro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i</w:t>
      </w:r>
      <w:proofErr w:type="spellEnd"/>
      <w:r w:rsidR="009D2F51" w:rsidRPr="009D2F51">
        <w:rPr>
          <w:rFonts w:ascii="Book Antiqua" w:hAnsi="Book Antiqua"/>
        </w:rPr>
        <w:t xml:space="preserve"> male </w:t>
      </w:r>
      <w:proofErr w:type="spellStart"/>
      <w:r w:rsidR="009D2F51" w:rsidRPr="009D2F51">
        <w:rPr>
          <w:rFonts w:ascii="Book Antiqua" w:hAnsi="Book Antiqua"/>
        </w:rPr>
        <w:t>subjekte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malog</w:t>
      </w:r>
      <w:proofErr w:type="spellEnd"/>
      <w:r w:rsidR="009D2F51" w:rsidRPr="009D2F51">
        <w:rPr>
          <w:rFonts w:ascii="Book Antiqua" w:hAnsi="Book Antiqua"/>
        </w:rPr>
        <w:t xml:space="preserve"> </w:t>
      </w:r>
      <w:proofErr w:type="spellStart"/>
      <w:r w:rsidR="009D2F51" w:rsidRPr="009D2F51">
        <w:rPr>
          <w:rFonts w:ascii="Book Antiqua" w:hAnsi="Book Antiqua"/>
        </w:rPr>
        <w:t>gospodarstva</w:t>
      </w:r>
      <w:proofErr w:type="spellEnd"/>
      <w:r w:rsidR="009D2F51" w:rsidRPr="009D2F51">
        <w:rPr>
          <w:rFonts w:ascii="Book Antiqua" w:hAnsi="Book Antiqua"/>
        </w:rPr>
        <w:t>.</w:t>
      </w:r>
    </w:p>
    <w:p w14:paraId="3C35584A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2D84E98C" w14:textId="6588D90F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  <w:r w:rsidRPr="009D2F51">
        <w:rPr>
          <w:rFonts w:ascii="Book Antiqua" w:hAnsi="Book Antiqua"/>
          <w:b/>
        </w:rPr>
        <w:tab/>
      </w:r>
      <w:proofErr w:type="spellStart"/>
      <w:r w:rsidRPr="009D2F51">
        <w:rPr>
          <w:rFonts w:ascii="Book Antiqua" w:hAnsi="Book Antiqua"/>
        </w:rPr>
        <w:t>Potporu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mogu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koristiti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poduzetnici</w:t>
      </w:r>
      <w:proofErr w:type="spellEnd"/>
      <w:r w:rsidRPr="009D2F51">
        <w:rPr>
          <w:rFonts w:ascii="Book Antiqua" w:hAnsi="Book Antiqua"/>
        </w:rPr>
        <w:t xml:space="preserve"> koji </w:t>
      </w:r>
      <w:proofErr w:type="spellStart"/>
      <w:r w:rsidRPr="009D2F51">
        <w:rPr>
          <w:rFonts w:ascii="Book Antiqua" w:hAnsi="Book Antiqua"/>
        </w:rPr>
        <w:t>su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ovu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mjeru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koristili</w:t>
      </w:r>
      <w:proofErr w:type="spellEnd"/>
      <w:r w:rsidRPr="009D2F51">
        <w:rPr>
          <w:rFonts w:ascii="Book Antiqua" w:hAnsi="Book Antiqua"/>
        </w:rPr>
        <w:t xml:space="preserve"> u 2020. </w:t>
      </w:r>
      <w:proofErr w:type="spellStart"/>
      <w:r w:rsidRPr="009D2F51">
        <w:rPr>
          <w:rFonts w:ascii="Book Antiqua" w:hAnsi="Book Antiqua"/>
        </w:rPr>
        <w:t>godini</w:t>
      </w:r>
      <w:proofErr w:type="spellEnd"/>
      <w:r w:rsidRPr="009D2F51">
        <w:rPr>
          <w:rFonts w:ascii="Book Antiqua" w:hAnsi="Book Antiqua"/>
        </w:rPr>
        <w:t xml:space="preserve">, a </w:t>
      </w:r>
      <w:proofErr w:type="spellStart"/>
      <w:r w:rsidRPr="009D2F51">
        <w:rPr>
          <w:rFonts w:ascii="Book Antiqua" w:hAnsi="Book Antiqua"/>
        </w:rPr>
        <w:t>zadržali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djelatnike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zaposlili</w:t>
      </w:r>
      <w:proofErr w:type="spellEnd"/>
      <w:r w:rsidRPr="009D2F51">
        <w:rPr>
          <w:rFonts w:ascii="Book Antiqua" w:hAnsi="Book Antiqua"/>
        </w:rPr>
        <w:t xml:space="preserve"> u 2020. </w:t>
      </w:r>
      <w:proofErr w:type="spellStart"/>
      <w:r w:rsidRPr="009D2F51">
        <w:rPr>
          <w:rFonts w:ascii="Book Antiqua" w:hAnsi="Book Antiqua"/>
        </w:rPr>
        <w:t>godini</w:t>
      </w:r>
      <w:proofErr w:type="spellEnd"/>
      <w:r w:rsidRPr="009D2F51">
        <w:rPr>
          <w:rFonts w:ascii="Book Antiqua" w:hAnsi="Book Antiqua"/>
        </w:rPr>
        <w:t xml:space="preserve">  za </w:t>
      </w:r>
      <w:proofErr w:type="spellStart"/>
      <w:r w:rsidRPr="009D2F51">
        <w:rPr>
          <w:rFonts w:ascii="Book Antiqua" w:hAnsi="Book Antiqua"/>
        </w:rPr>
        <w:t>koje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ostvarili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potporu</w:t>
      </w:r>
      <w:proofErr w:type="spellEnd"/>
      <w:r w:rsidRPr="009D2F51">
        <w:rPr>
          <w:rFonts w:ascii="Book Antiqua" w:hAnsi="Book Antiqua"/>
        </w:rPr>
        <w:t>.</w:t>
      </w:r>
    </w:p>
    <w:p w14:paraId="4DFC0DE8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5F006218" w14:textId="59AE67FA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  <w:r w:rsidRPr="009D2F51">
        <w:rPr>
          <w:rFonts w:ascii="Book Antiqua" w:hAnsi="Book Antiqua"/>
        </w:rPr>
        <w:tab/>
        <w:t xml:space="preserve">Za </w:t>
      </w:r>
      <w:proofErr w:type="spellStart"/>
      <w:r w:rsidRPr="009D2F51">
        <w:rPr>
          <w:rFonts w:ascii="Book Antiqua" w:hAnsi="Book Antiqua"/>
        </w:rPr>
        <w:t>svakog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novozaposlenog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radnika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kojeg</w:t>
      </w:r>
      <w:proofErr w:type="spellEnd"/>
      <w:r w:rsidRPr="009D2F51">
        <w:rPr>
          <w:rFonts w:ascii="Book Antiqua" w:hAnsi="Book Antiqua"/>
        </w:rPr>
        <w:t xml:space="preserve"> se </w:t>
      </w:r>
      <w:proofErr w:type="spellStart"/>
      <w:r w:rsidRPr="009D2F51">
        <w:rPr>
          <w:rFonts w:ascii="Book Antiqua" w:hAnsi="Book Antiqua"/>
        </w:rPr>
        <w:t>traži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potpora</w:t>
      </w:r>
      <w:proofErr w:type="spellEnd"/>
      <w:r w:rsidRPr="009D2F51">
        <w:rPr>
          <w:rFonts w:ascii="Book Antiqua" w:hAnsi="Book Antiqua"/>
        </w:rPr>
        <w:t xml:space="preserve"> mora </w:t>
      </w:r>
      <w:proofErr w:type="spellStart"/>
      <w:r w:rsidRPr="009D2F51">
        <w:rPr>
          <w:rFonts w:ascii="Book Antiqua" w:hAnsi="Book Antiqua"/>
        </w:rPr>
        <w:t>biti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sklopljen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Ugovor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radu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neodređeno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vrijeme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određeno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vrijeme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najmanje</w:t>
      </w:r>
      <w:proofErr w:type="spellEnd"/>
      <w:r w:rsidRPr="009D2F51">
        <w:rPr>
          <w:rFonts w:ascii="Book Antiqua" w:hAnsi="Book Antiqua"/>
        </w:rPr>
        <w:t xml:space="preserve"> 6 </w:t>
      </w:r>
      <w:proofErr w:type="spellStart"/>
      <w:r w:rsidRPr="009D2F51">
        <w:rPr>
          <w:rFonts w:ascii="Book Antiqua" w:hAnsi="Book Antiqua"/>
        </w:rPr>
        <w:t>mjeseci</w:t>
      </w:r>
      <w:proofErr w:type="spellEnd"/>
      <w:r w:rsidRPr="009D2F51">
        <w:rPr>
          <w:rFonts w:ascii="Book Antiqua" w:hAnsi="Book Antiqua"/>
        </w:rPr>
        <w:t xml:space="preserve">, s </w:t>
      </w:r>
      <w:proofErr w:type="spellStart"/>
      <w:r w:rsidRPr="009D2F51">
        <w:rPr>
          <w:rFonts w:ascii="Book Antiqua" w:hAnsi="Book Antiqua"/>
        </w:rPr>
        <w:t>datumom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zapošljavanja</w:t>
      </w:r>
      <w:proofErr w:type="spellEnd"/>
      <w:r w:rsidRPr="009D2F51">
        <w:rPr>
          <w:rFonts w:ascii="Book Antiqua" w:hAnsi="Book Antiqua"/>
        </w:rPr>
        <w:t xml:space="preserve"> ne </w:t>
      </w:r>
      <w:proofErr w:type="spellStart"/>
      <w:r w:rsidRPr="009D2F51">
        <w:rPr>
          <w:rFonts w:ascii="Book Antiqua" w:hAnsi="Book Antiqua"/>
        </w:rPr>
        <w:t>ranijim</w:t>
      </w:r>
      <w:proofErr w:type="spellEnd"/>
      <w:r w:rsidRPr="009D2F51">
        <w:rPr>
          <w:rFonts w:ascii="Book Antiqua" w:hAnsi="Book Antiqua"/>
        </w:rPr>
        <w:t xml:space="preserve"> od 1. </w:t>
      </w:r>
      <w:proofErr w:type="spellStart"/>
      <w:r w:rsidRPr="009D2F51">
        <w:rPr>
          <w:rFonts w:ascii="Book Antiqua" w:hAnsi="Book Antiqua"/>
        </w:rPr>
        <w:t>siječnja</w:t>
      </w:r>
      <w:proofErr w:type="spellEnd"/>
      <w:r w:rsidRPr="009D2F51">
        <w:rPr>
          <w:rFonts w:ascii="Book Antiqua" w:hAnsi="Book Antiqua"/>
        </w:rPr>
        <w:t xml:space="preserve"> 2020</w:t>
      </w:r>
      <w:r w:rsidRPr="009D2F51">
        <w:rPr>
          <w:rFonts w:ascii="Book Antiqua" w:hAnsi="Book Antiqua"/>
          <w:u w:val="single"/>
        </w:rPr>
        <w:t>.</w:t>
      </w:r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godine</w:t>
      </w:r>
      <w:proofErr w:type="spellEnd"/>
      <w:r w:rsidRPr="009D2F51">
        <w:rPr>
          <w:rFonts w:ascii="Book Antiqua" w:hAnsi="Book Antiqua"/>
        </w:rPr>
        <w:t xml:space="preserve">, </w:t>
      </w:r>
      <w:proofErr w:type="spellStart"/>
      <w:r w:rsidRPr="009D2F51">
        <w:rPr>
          <w:rFonts w:ascii="Book Antiqua" w:hAnsi="Book Antiqua"/>
        </w:rPr>
        <w:t>osim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djelatnike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prethodnog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stavka</w:t>
      </w:r>
      <w:proofErr w:type="spellEnd"/>
      <w:r w:rsidRPr="009D2F51">
        <w:rPr>
          <w:rFonts w:ascii="Book Antiqua" w:hAnsi="Book Antiqua"/>
        </w:rPr>
        <w:t>.</w:t>
      </w:r>
    </w:p>
    <w:p w14:paraId="12D7D4D7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2CC02270" w14:textId="7D0CE89C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koja</w:t>
      </w:r>
      <w:proofErr w:type="spellEnd"/>
      <w:r w:rsidRPr="009D2F51">
        <w:rPr>
          <w:rFonts w:ascii="Book Antiqua" w:hAnsi="Book Antiqua"/>
        </w:rPr>
        <w:t xml:space="preserve"> se </w:t>
      </w:r>
      <w:proofErr w:type="spellStart"/>
      <w:r w:rsidRPr="009D2F51">
        <w:rPr>
          <w:rFonts w:ascii="Book Antiqua" w:hAnsi="Book Antiqua"/>
        </w:rPr>
        <w:t>zapošljava</w:t>
      </w:r>
      <w:proofErr w:type="spellEnd"/>
      <w:r w:rsidRPr="009D2F51">
        <w:rPr>
          <w:rFonts w:ascii="Book Antiqua" w:hAnsi="Book Antiqua"/>
        </w:rPr>
        <w:t xml:space="preserve"> mora </w:t>
      </w:r>
      <w:proofErr w:type="spellStart"/>
      <w:r w:rsidRPr="009D2F51">
        <w:rPr>
          <w:rFonts w:ascii="Book Antiqua" w:hAnsi="Book Antiqua"/>
        </w:rPr>
        <w:t>biti</w:t>
      </w:r>
      <w:proofErr w:type="spellEnd"/>
      <w:r w:rsidRPr="009D2F51">
        <w:rPr>
          <w:rFonts w:ascii="Book Antiqua" w:hAnsi="Book Antiqua"/>
        </w:rPr>
        <w:t xml:space="preserve"> s </w:t>
      </w:r>
      <w:proofErr w:type="spellStart"/>
      <w:r w:rsidRPr="009D2F51">
        <w:rPr>
          <w:rFonts w:ascii="Book Antiqua" w:hAnsi="Book Antiqua"/>
        </w:rPr>
        <w:t>područja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Općine</w:t>
      </w:r>
      <w:proofErr w:type="spellEnd"/>
      <w:r w:rsidRPr="009D2F51">
        <w:rPr>
          <w:rFonts w:ascii="Book Antiqua" w:hAnsi="Book Antiqua"/>
        </w:rPr>
        <w:t xml:space="preserve"> Tovarnik. </w:t>
      </w:r>
      <w:proofErr w:type="spellStart"/>
      <w:r w:rsidRPr="009D2F51">
        <w:rPr>
          <w:rFonts w:ascii="Book Antiqua" w:hAnsi="Book Antiqua"/>
        </w:rPr>
        <w:t>Isto</w:t>
      </w:r>
      <w:proofErr w:type="spellEnd"/>
      <w:r w:rsidRPr="009D2F51">
        <w:rPr>
          <w:rFonts w:ascii="Book Antiqua" w:hAnsi="Book Antiqua"/>
        </w:rPr>
        <w:t xml:space="preserve"> se </w:t>
      </w:r>
      <w:proofErr w:type="spellStart"/>
      <w:r w:rsidRPr="009D2F51">
        <w:rPr>
          <w:rFonts w:ascii="Book Antiqua" w:hAnsi="Book Antiqua"/>
        </w:rPr>
        <w:t>odnosi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koje</w:t>
      </w:r>
      <w:proofErr w:type="spellEnd"/>
      <w:r w:rsidRPr="009D2F51">
        <w:rPr>
          <w:rFonts w:ascii="Book Antiqua" w:hAnsi="Book Antiqua"/>
        </w:rPr>
        <w:t xml:space="preserve"> se </w:t>
      </w:r>
      <w:proofErr w:type="spellStart"/>
      <w:r w:rsidRPr="009D2F51">
        <w:rPr>
          <w:rFonts w:ascii="Book Antiqua" w:hAnsi="Book Antiqua"/>
        </w:rPr>
        <w:t>samozapošljavaju</w:t>
      </w:r>
      <w:proofErr w:type="spellEnd"/>
      <w:r w:rsidRPr="009D2F51">
        <w:rPr>
          <w:rFonts w:ascii="Book Antiqua" w:hAnsi="Book Antiqua"/>
        </w:rPr>
        <w:t>.</w:t>
      </w:r>
    </w:p>
    <w:p w14:paraId="7344A4D3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61F5F5DB" w14:textId="2B74321B" w:rsidR="009D2F51" w:rsidRPr="009D2F51" w:rsidRDefault="009D2F51" w:rsidP="009D2F51">
      <w:pPr>
        <w:pStyle w:val="Bezproreda"/>
        <w:spacing w:line="276" w:lineRule="auto"/>
        <w:ind w:firstLine="708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lastRenderedPageBreak/>
        <w:t>Iznos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potpore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svaku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novozaposlenu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  <w:u w:val="single"/>
        </w:rPr>
        <w:t>i</w:t>
      </w:r>
      <w:proofErr w:type="spellEnd"/>
      <w:r w:rsidRPr="009D2F51">
        <w:rPr>
          <w:rFonts w:ascii="Book Antiqua" w:hAnsi="Book Antiqua"/>
          <w:u w:val="single"/>
        </w:rPr>
        <w:t xml:space="preserve"> </w:t>
      </w:r>
      <w:proofErr w:type="spellStart"/>
      <w:r w:rsidRPr="009D2F51">
        <w:rPr>
          <w:rFonts w:ascii="Book Antiqua" w:hAnsi="Book Antiqua"/>
          <w:u w:val="single"/>
        </w:rPr>
        <w:t>samozaposlenu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neodređeno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vrijeme</w:t>
      </w:r>
      <w:proofErr w:type="spellEnd"/>
      <w:r w:rsidRPr="009D2F51">
        <w:rPr>
          <w:rFonts w:ascii="Book Antiqua" w:hAnsi="Book Antiqua"/>
        </w:rPr>
        <w:t xml:space="preserve">, </w:t>
      </w:r>
      <w:proofErr w:type="spellStart"/>
      <w:r w:rsidRPr="009D2F51">
        <w:rPr>
          <w:rFonts w:ascii="Book Antiqua" w:hAnsi="Book Antiqua"/>
        </w:rPr>
        <w:t>kao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osobe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stavka</w:t>
      </w:r>
      <w:proofErr w:type="spellEnd"/>
      <w:r w:rsidRPr="009D2F51">
        <w:rPr>
          <w:rFonts w:ascii="Book Antiqua" w:hAnsi="Book Antiqua"/>
        </w:rPr>
        <w:t xml:space="preserve"> 2.  </w:t>
      </w:r>
      <w:proofErr w:type="spellStart"/>
      <w:r w:rsidRPr="009D2F51">
        <w:rPr>
          <w:rFonts w:ascii="Book Antiqua" w:hAnsi="Book Antiqua"/>
        </w:rPr>
        <w:t>ovog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članka</w:t>
      </w:r>
      <w:proofErr w:type="spellEnd"/>
      <w:r w:rsidRPr="009D2F51">
        <w:rPr>
          <w:rFonts w:ascii="Book Antiqua" w:hAnsi="Book Antiqua"/>
        </w:rPr>
        <w:t xml:space="preserve">  </w:t>
      </w:r>
      <w:proofErr w:type="spellStart"/>
      <w:r w:rsidRPr="009D2F51">
        <w:rPr>
          <w:rFonts w:ascii="Book Antiqua" w:hAnsi="Book Antiqua"/>
        </w:rPr>
        <w:t>iznosi</w:t>
      </w:r>
      <w:proofErr w:type="spellEnd"/>
      <w:r w:rsidRPr="009D2F51">
        <w:rPr>
          <w:rFonts w:ascii="Book Antiqua" w:hAnsi="Book Antiqua"/>
        </w:rPr>
        <w:t xml:space="preserve"> 50% </w:t>
      </w:r>
      <w:proofErr w:type="spellStart"/>
      <w:r w:rsidRPr="009D2F51">
        <w:rPr>
          <w:rFonts w:ascii="Book Antiqua" w:hAnsi="Book Antiqua"/>
        </w:rPr>
        <w:t>bruto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plaće</w:t>
      </w:r>
      <w:proofErr w:type="spellEnd"/>
      <w:r w:rsidRPr="009D2F51">
        <w:rPr>
          <w:rFonts w:ascii="Book Antiqua" w:hAnsi="Book Antiqua"/>
        </w:rPr>
        <w:t xml:space="preserve">, do </w:t>
      </w:r>
      <w:proofErr w:type="spellStart"/>
      <w:r w:rsidRPr="009D2F51">
        <w:rPr>
          <w:rFonts w:ascii="Book Antiqua" w:hAnsi="Book Antiqua"/>
        </w:rPr>
        <w:t>najvišeg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iznosa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bruto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plaće</w:t>
      </w:r>
      <w:proofErr w:type="spellEnd"/>
      <w:r w:rsidRPr="009D2F51">
        <w:rPr>
          <w:rFonts w:ascii="Book Antiqua" w:hAnsi="Book Antiqua"/>
        </w:rPr>
        <w:t xml:space="preserve"> od 5.500,00 </w:t>
      </w:r>
      <w:proofErr w:type="spellStart"/>
      <w:r w:rsidRPr="009D2F51">
        <w:rPr>
          <w:rFonts w:ascii="Book Antiqua" w:hAnsi="Book Antiqua"/>
        </w:rPr>
        <w:t>kn</w:t>
      </w:r>
      <w:proofErr w:type="spellEnd"/>
      <w:r w:rsidRPr="009D2F51">
        <w:rPr>
          <w:rFonts w:ascii="Book Antiqua" w:hAnsi="Book Antiqua"/>
        </w:rPr>
        <w:t xml:space="preserve">, a </w:t>
      </w:r>
      <w:proofErr w:type="spellStart"/>
      <w:r w:rsidRPr="009D2F51">
        <w:rPr>
          <w:rFonts w:ascii="Book Antiqua" w:hAnsi="Book Antiqua"/>
        </w:rPr>
        <w:t>ukoliko</w:t>
      </w:r>
      <w:proofErr w:type="spellEnd"/>
      <w:r w:rsidRPr="009D2F51">
        <w:rPr>
          <w:rFonts w:ascii="Book Antiqua" w:hAnsi="Book Antiqua"/>
        </w:rPr>
        <w:t xml:space="preserve"> se </w:t>
      </w:r>
      <w:proofErr w:type="spellStart"/>
      <w:r w:rsidRPr="009D2F51">
        <w:rPr>
          <w:rFonts w:ascii="Book Antiqua" w:hAnsi="Book Antiqua"/>
        </w:rPr>
        <w:t>radi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zapošljavanju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vlastitog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gospodarstva</w:t>
      </w:r>
      <w:proofErr w:type="spellEnd"/>
      <w:r w:rsidRPr="009D2F51">
        <w:rPr>
          <w:rFonts w:ascii="Book Antiqua" w:hAnsi="Book Antiqua"/>
        </w:rPr>
        <w:t>/</w:t>
      </w:r>
      <w:proofErr w:type="spellStart"/>
      <w:r w:rsidRPr="009D2F51">
        <w:rPr>
          <w:rFonts w:ascii="Book Antiqua" w:hAnsi="Book Antiqua"/>
        </w:rPr>
        <w:t>kućanstva</w:t>
      </w:r>
      <w:proofErr w:type="spellEnd"/>
      <w:r w:rsidRPr="009D2F51">
        <w:rPr>
          <w:rFonts w:ascii="Book Antiqua" w:hAnsi="Book Antiqua"/>
        </w:rPr>
        <w:t xml:space="preserve"> 40 %.</w:t>
      </w:r>
    </w:p>
    <w:p w14:paraId="23B30E9A" w14:textId="77777777" w:rsidR="009D2F51" w:rsidRPr="009D2F51" w:rsidRDefault="009D2F51" w:rsidP="009D2F51">
      <w:pPr>
        <w:pStyle w:val="Bezproreda"/>
        <w:spacing w:line="276" w:lineRule="auto"/>
        <w:ind w:firstLine="708"/>
        <w:rPr>
          <w:rFonts w:ascii="Book Antiqua" w:hAnsi="Book Antiqua"/>
        </w:rPr>
      </w:pPr>
    </w:p>
    <w:p w14:paraId="33E5C43A" w14:textId="77777777" w:rsidR="009D2F51" w:rsidRPr="009D2F51" w:rsidRDefault="009D2F51" w:rsidP="009D2F51">
      <w:pPr>
        <w:pStyle w:val="Bezproreda"/>
        <w:spacing w:line="276" w:lineRule="auto"/>
        <w:ind w:firstLine="708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Iznos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potpore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svaku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novozaposlenu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  <w:u w:val="single"/>
        </w:rPr>
        <w:t>i</w:t>
      </w:r>
      <w:proofErr w:type="spellEnd"/>
      <w:r w:rsidRPr="009D2F51">
        <w:rPr>
          <w:rFonts w:ascii="Book Antiqua" w:hAnsi="Book Antiqua"/>
          <w:u w:val="single"/>
        </w:rPr>
        <w:t xml:space="preserve"> </w:t>
      </w:r>
      <w:proofErr w:type="spellStart"/>
      <w:r w:rsidRPr="009D2F51">
        <w:rPr>
          <w:rFonts w:ascii="Book Antiqua" w:hAnsi="Book Antiqua"/>
          <w:u w:val="single"/>
        </w:rPr>
        <w:t>samozaposlenu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određeno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vrijeme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iznosi</w:t>
      </w:r>
      <w:proofErr w:type="spellEnd"/>
      <w:r w:rsidRPr="009D2F51">
        <w:rPr>
          <w:rFonts w:ascii="Book Antiqua" w:hAnsi="Book Antiqua"/>
        </w:rPr>
        <w:t xml:space="preserve"> 40% </w:t>
      </w:r>
      <w:proofErr w:type="spellStart"/>
      <w:r w:rsidRPr="009D2F51">
        <w:rPr>
          <w:rFonts w:ascii="Book Antiqua" w:hAnsi="Book Antiqua"/>
        </w:rPr>
        <w:t>bruto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plaće</w:t>
      </w:r>
      <w:proofErr w:type="spellEnd"/>
      <w:r w:rsidRPr="009D2F51">
        <w:rPr>
          <w:rFonts w:ascii="Book Antiqua" w:hAnsi="Book Antiqua"/>
        </w:rPr>
        <w:t xml:space="preserve">, do </w:t>
      </w:r>
      <w:proofErr w:type="spellStart"/>
      <w:r w:rsidRPr="009D2F51">
        <w:rPr>
          <w:rFonts w:ascii="Book Antiqua" w:hAnsi="Book Antiqua"/>
        </w:rPr>
        <w:t>najvišeg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iznosa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bruto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plaće</w:t>
      </w:r>
      <w:proofErr w:type="spellEnd"/>
      <w:r w:rsidRPr="009D2F51">
        <w:rPr>
          <w:rFonts w:ascii="Book Antiqua" w:hAnsi="Book Antiqua"/>
        </w:rPr>
        <w:t xml:space="preserve"> od 5.500,00 kn.</w:t>
      </w:r>
    </w:p>
    <w:p w14:paraId="10A5AD9B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3F01C031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Sredstva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ovu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mjeru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osiguravaju</w:t>
      </w:r>
      <w:proofErr w:type="spellEnd"/>
      <w:r w:rsidRPr="009D2F51">
        <w:rPr>
          <w:rFonts w:ascii="Book Antiqua" w:hAnsi="Book Antiqua"/>
        </w:rPr>
        <w:t xml:space="preserve"> se u </w:t>
      </w:r>
      <w:proofErr w:type="spellStart"/>
      <w:r w:rsidRPr="009D2F51">
        <w:rPr>
          <w:rFonts w:ascii="Book Antiqua" w:hAnsi="Book Antiqua"/>
        </w:rPr>
        <w:t>maksimalnom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iznosu</w:t>
      </w:r>
      <w:proofErr w:type="spellEnd"/>
      <w:r w:rsidRPr="009D2F51">
        <w:rPr>
          <w:rFonts w:ascii="Book Antiqua" w:hAnsi="Book Antiqua"/>
        </w:rPr>
        <w:t xml:space="preserve"> od 180.000,00 kn.</w:t>
      </w:r>
    </w:p>
    <w:p w14:paraId="4136EA13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72BE9F4F" w14:textId="77777777" w:rsidR="009D2F51" w:rsidRPr="009D2F51" w:rsidRDefault="009D2F51" w:rsidP="009D2F51">
      <w:pPr>
        <w:pStyle w:val="Bezproreda"/>
        <w:spacing w:line="276" w:lineRule="auto"/>
        <w:ind w:firstLine="708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Poslodavac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ima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pravo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zatražiti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sredstva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najviše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dvije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novozaposlene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ostaju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zaposlene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prethodne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godine</w:t>
      </w:r>
      <w:proofErr w:type="spellEnd"/>
      <w:r w:rsidRPr="009D2F51">
        <w:rPr>
          <w:rFonts w:ascii="Book Antiqua" w:hAnsi="Book Antiqua"/>
        </w:rPr>
        <w:t>.</w:t>
      </w:r>
    </w:p>
    <w:p w14:paraId="15F293AF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16186F54" w14:textId="77777777" w:rsidR="009D2F51" w:rsidRPr="009D2F51" w:rsidRDefault="009D2F51" w:rsidP="009D2F51">
      <w:pPr>
        <w:pStyle w:val="Bezproreda"/>
        <w:spacing w:line="276" w:lineRule="auto"/>
        <w:ind w:firstLine="708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Poslodavac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svaki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mjesec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dostavlja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dokaze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uplati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plaće</w:t>
      </w:r>
      <w:proofErr w:type="spellEnd"/>
      <w:r w:rsidRPr="009D2F51">
        <w:rPr>
          <w:rFonts w:ascii="Book Antiqua" w:hAnsi="Book Antiqua"/>
        </w:rPr>
        <w:t xml:space="preserve">, a u </w:t>
      </w:r>
      <w:proofErr w:type="spellStart"/>
      <w:r w:rsidRPr="009D2F51">
        <w:rPr>
          <w:rFonts w:ascii="Book Antiqua" w:hAnsi="Book Antiqua"/>
        </w:rPr>
        <w:t>slučaju</w:t>
      </w:r>
      <w:proofErr w:type="spellEnd"/>
      <w:r w:rsidRPr="009D2F51">
        <w:rPr>
          <w:rFonts w:ascii="Book Antiqua" w:hAnsi="Book Antiqua"/>
        </w:rPr>
        <w:t xml:space="preserve"> ne </w:t>
      </w:r>
      <w:proofErr w:type="spellStart"/>
      <w:r w:rsidRPr="009D2F51">
        <w:rPr>
          <w:rFonts w:ascii="Book Antiqua" w:hAnsi="Book Antiqua"/>
        </w:rPr>
        <w:t>ispunjenja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uvjeta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dužan</w:t>
      </w:r>
      <w:proofErr w:type="spellEnd"/>
      <w:r w:rsidRPr="009D2F51">
        <w:rPr>
          <w:rFonts w:ascii="Book Antiqua" w:hAnsi="Book Antiqua"/>
        </w:rPr>
        <w:t xml:space="preserve"> je </w:t>
      </w:r>
      <w:proofErr w:type="spellStart"/>
      <w:r w:rsidRPr="009D2F51">
        <w:rPr>
          <w:rFonts w:ascii="Book Antiqua" w:hAnsi="Book Antiqua"/>
        </w:rPr>
        <w:t>vratiti</w:t>
      </w:r>
      <w:proofErr w:type="spellEnd"/>
      <w:r w:rsidRPr="009D2F51">
        <w:rPr>
          <w:rFonts w:ascii="Book Antiqua" w:hAnsi="Book Antiqua"/>
        </w:rPr>
        <w:t xml:space="preserve"> sav do </w:t>
      </w:r>
      <w:proofErr w:type="spellStart"/>
      <w:r w:rsidRPr="009D2F51">
        <w:rPr>
          <w:rFonts w:ascii="Book Antiqua" w:hAnsi="Book Antiqua"/>
        </w:rPr>
        <w:t>tada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uplaćen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novac</w:t>
      </w:r>
      <w:proofErr w:type="spellEnd"/>
      <w:r w:rsidRPr="009D2F51">
        <w:rPr>
          <w:rFonts w:ascii="Book Antiqua" w:hAnsi="Book Antiqua"/>
        </w:rPr>
        <w:t xml:space="preserve">. </w:t>
      </w:r>
      <w:proofErr w:type="spellStart"/>
      <w:r w:rsidRPr="009D2F51">
        <w:rPr>
          <w:rFonts w:ascii="Book Antiqua" w:hAnsi="Book Antiqua"/>
        </w:rPr>
        <w:t>Ukoliko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to ne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učini</w:t>
      </w:r>
      <w:proofErr w:type="spellEnd"/>
      <w:r w:rsidRPr="009D2F51">
        <w:rPr>
          <w:rFonts w:ascii="Book Antiqua" w:hAnsi="Book Antiqua"/>
        </w:rPr>
        <w:t xml:space="preserve">, </w:t>
      </w:r>
      <w:proofErr w:type="spellStart"/>
      <w:r w:rsidRPr="009D2F51">
        <w:rPr>
          <w:rFonts w:ascii="Book Antiqua" w:hAnsi="Book Antiqua"/>
        </w:rPr>
        <w:t>Općina</w:t>
      </w:r>
      <w:proofErr w:type="spellEnd"/>
      <w:r w:rsidRPr="009D2F51">
        <w:rPr>
          <w:rFonts w:ascii="Book Antiqua" w:hAnsi="Book Antiqua"/>
        </w:rPr>
        <w:t xml:space="preserve"> Tovarnik </w:t>
      </w:r>
      <w:proofErr w:type="spellStart"/>
      <w:r w:rsidRPr="009D2F51">
        <w:rPr>
          <w:rFonts w:ascii="Book Antiqua" w:hAnsi="Book Antiqua"/>
        </w:rPr>
        <w:t>aktivirat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će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bjanko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zadužnicu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koju</w:t>
      </w:r>
      <w:proofErr w:type="spellEnd"/>
      <w:r w:rsidRPr="009D2F51">
        <w:rPr>
          <w:rFonts w:ascii="Book Antiqua" w:hAnsi="Book Antiqua"/>
        </w:rPr>
        <w:t xml:space="preserve"> je </w:t>
      </w:r>
      <w:proofErr w:type="spellStart"/>
      <w:r w:rsidRPr="009D2F51">
        <w:rPr>
          <w:rFonts w:ascii="Book Antiqua" w:hAnsi="Book Antiqua"/>
        </w:rPr>
        <w:t>svaki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korisnik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dužan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dostaviti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prije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donošenja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Odluke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dodjeli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potpore</w:t>
      </w:r>
      <w:proofErr w:type="spellEnd"/>
      <w:r w:rsidRPr="009D2F51">
        <w:rPr>
          <w:rFonts w:ascii="Book Antiqua" w:hAnsi="Book Antiqua"/>
        </w:rPr>
        <w:t xml:space="preserve">, </w:t>
      </w:r>
      <w:proofErr w:type="spellStart"/>
      <w:r w:rsidRPr="009D2F51">
        <w:rPr>
          <w:rFonts w:ascii="Book Antiqua" w:hAnsi="Book Antiqua"/>
        </w:rPr>
        <w:t>odnosno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prije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prve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isplate</w:t>
      </w:r>
      <w:proofErr w:type="spellEnd"/>
      <w:r w:rsidRPr="009D2F51">
        <w:rPr>
          <w:rFonts w:ascii="Book Antiqua" w:hAnsi="Book Antiqua"/>
        </w:rPr>
        <w:t>.</w:t>
      </w:r>
    </w:p>
    <w:p w14:paraId="42739952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</w:p>
    <w:p w14:paraId="67CDB448" w14:textId="77777777" w:rsidR="009D2F51" w:rsidRPr="009D2F51" w:rsidRDefault="009D2F51" w:rsidP="009D2F51">
      <w:pPr>
        <w:pStyle w:val="Bezproreda"/>
        <w:spacing w:line="276" w:lineRule="auto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Dokumentacija</w:t>
      </w:r>
      <w:proofErr w:type="spellEnd"/>
      <w:r w:rsidRPr="009D2F51">
        <w:rPr>
          <w:rFonts w:ascii="Book Antiqua" w:hAnsi="Book Antiqua"/>
        </w:rPr>
        <w:t>:</w:t>
      </w:r>
    </w:p>
    <w:p w14:paraId="598A11A9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preslika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Ugovora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radu</w:t>
      </w:r>
      <w:proofErr w:type="spellEnd"/>
    </w:p>
    <w:p w14:paraId="20D462A1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prslika</w:t>
      </w:r>
      <w:proofErr w:type="spellEnd"/>
      <w:r w:rsidRPr="009D2F51">
        <w:rPr>
          <w:rFonts w:ascii="Book Antiqua" w:hAnsi="Book Antiqua"/>
        </w:rPr>
        <w:t xml:space="preserve"> JOPPD </w:t>
      </w:r>
      <w:proofErr w:type="spellStart"/>
      <w:r w:rsidRPr="009D2F51">
        <w:rPr>
          <w:rFonts w:ascii="Book Antiqua" w:hAnsi="Book Antiqua"/>
        </w:rPr>
        <w:t>obrasca</w:t>
      </w:r>
      <w:proofErr w:type="spellEnd"/>
    </w:p>
    <w:p w14:paraId="0ED872FD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preslika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registracije</w:t>
      </w:r>
      <w:proofErr w:type="spellEnd"/>
      <w:r w:rsidRPr="009D2F51">
        <w:rPr>
          <w:rFonts w:ascii="Book Antiqua" w:hAnsi="Book Antiqua"/>
        </w:rPr>
        <w:t xml:space="preserve"> ( </w:t>
      </w:r>
      <w:proofErr w:type="spellStart"/>
      <w:r w:rsidRPr="009D2F51">
        <w:rPr>
          <w:rFonts w:ascii="Book Antiqua" w:hAnsi="Book Antiqua"/>
        </w:rPr>
        <w:t>obrtnica</w:t>
      </w:r>
      <w:proofErr w:type="spellEnd"/>
      <w:r w:rsidRPr="009D2F51">
        <w:rPr>
          <w:rFonts w:ascii="Book Antiqua" w:hAnsi="Book Antiqua"/>
        </w:rPr>
        <w:t xml:space="preserve">, </w:t>
      </w:r>
      <w:proofErr w:type="spellStart"/>
      <w:r w:rsidRPr="009D2F51">
        <w:rPr>
          <w:rFonts w:ascii="Book Antiqua" w:hAnsi="Book Antiqua"/>
        </w:rPr>
        <w:t>rješenje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izvadak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iz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sudskog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registra</w:t>
      </w:r>
      <w:proofErr w:type="spellEnd"/>
      <w:r w:rsidRPr="009D2F51">
        <w:rPr>
          <w:rFonts w:ascii="Book Antiqua" w:hAnsi="Book Antiqua"/>
        </w:rPr>
        <w:t xml:space="preserve"> )</w:t>
      </w:r>
    </w:p>
    <w:p w14:paraId="20C005BD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potvrda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Zavoda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mirovinsko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osiguranje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broju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djelatnika</w:t>
      </w:r>
      <w:proofErr w:type="spellEnd"/>
    </w:p>
    <w:p w14:paraId="01A8F57C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potvrda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nepostojanju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duga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prema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Općini</w:t>
      </w:r>
      <w:proofErr w:type="spellEnd"/>
      <w:r w:rsidRPr="009D2F51">
        <w:rPr>
          <w:rFonts w:ascii="Book Antiqua" w:hAnsi="Book Antiqua"/>
        </w:rPr>
        <w:t xml:space="preserve"> Tovarnik</w:t>
      </w:r>
    </w:p>
    <w:p w14:paraId="49DE5702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potvrda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porezne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uprave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nepostojanju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duga</w:t>
      </w:r>
      <w:proofErr w:type="spellEnd"/>
    </w:p>
    <w:p w14:paraId="71BCD412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preslika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osobne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iskaznice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svakog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djelatnika</w:t>
      </w:r>
      <w:proofErr w:type="spellEnd"/>
      <w:r w:rsidRPr="009D2F51">
        <w:rPr>
          <w:rFonts w:ascii="Book Antiqua" w:hAnsi="Book Antiqua"/>
        </w:rPr>
        <w:t xml:space="preserve"> za </w:t>
      </w:r>
      <w:proofErr w:type="spellStart"/>
      <w:r w:rsidRPr="009D2F51">
        <w:rPr>
          <w:rFonts w:ascii="Book Antiqua" w:hAnsi="Book Antiqua"/>
        </w:rPr>
        <w:t>kojeg</w:t>
      </w:r>
      <w:proofErr w:type="spellEnd"/>
      <w:r w:rsidRPr="009D2F51">
        <w:rPr>
          <w:rFonts w:ascii="Book Antiqua" w:hAnsi="Book Antiqua"/>
        </w:rPr>
        <w:t xml:space="preserve"> se </w:t>
      </w:r>
      <w:proofErr w:type="spellStart"/>
      <w:r w:rsidRPr="009D2F51">
        <w:rPr>
          <w:rFonts w:ascii="Book Antiqua" w:hAnsi="Book Antiqua"/>
        </w:rPr>
        <w:t>traži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potpora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ili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uvjerenje</w:t>
      </w:r>
      <w:proofErr w:type="spellEnd"/>
      <w:r w:rsidRPr="009D2F51">
        <w:rPr>
          <w:rFonts w:ascii="Book Antiqua" w:hAnsi="Book Antiqua"/>
        </w:rPr>
        <w:t xml:space="preserve"> o </w:t>
      </w:r>
      <w:proofErr w:type="spellStart"/>
      <w:r w:rsidRPr="009D2F51">
        <w:rPr>
          <w:rFonts w:ascii="Book Antiqua" w:hAnsi="Book Antiqua"/>
        </w:rPr>
        <w:t>prebivalištu</w:t>
      </w:r>
      <w:proofErr w:type="spellEnd"/>
    </w:p>
    <w:p w14:paraId="7420B4DE" w14:textId="77777777" w:rsidR="009D2F51" w:rsidRPr="009D2F51" w:rsidRDefault="009D2F51" w:rsidP="009D2F51">
      <w:pPr>
        <w:pStyle w:val="Bezproreda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bjanko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zadužnica</w:t>
      </w:r>
      <w:proofErr w:type="spellEnd"/>
    </w:p>
    <w:p w14:paraId="25C78C15" w14:textId="3F7A3792" w:rsidR="009D2F51" w:rsidRPr="009D2F51" w:rsidRDefault="009D2F51" w:rsidP="00430C87">
      <w:pPr>
        <w:pStyle w:val="Bezproreda"/>
        <w:numPr>
          <w:ilvl w:val="0"/>
          <w:numId w:val="1"/>
        </w:numPr>
        <w:suppressAutoHyphens/>
        <w:autoSpaceDN w:val="0"/>
        <w:spacing w:line="480" w:lineRule="auto"/>
        <w:textAlignment w:val="baseline"/>
        <w:rPr>
          <w:rFonts w:ascii="Book Antiqua" w:hAnsi="Book Antiqua"/>
        </w:rPr>
      </w:pPr>
      <w:proofErr w:type="spellStart"/>
      <w:r w:rsidRPr="009D2F51">
        <w:rPr>
          <w:rFonts w:ascii="Book Antiqua" w:hAnsi="Book Antiqua"/>
        </w:rPr>
        <w:t>ostala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dokumentacija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koja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će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biti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propisna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Javnim</w:t>
      </w:r>
      <w:proofErr w:type="spellEnd"/>
      <w:r w:rsidRPr="009D2F51">
        <w:rPr>
          <w:rFonts w:ascii="Book Antiqua" w:hAnsi="Book Antiqua"/>
        </w:rPr>
        <w:t xml:space="preserve"> </w:t>
      </w:r>
      <w:proofErr w:type="spellStart"/>
      <w:r w:rsidRPr="009D2F51">
        <w:rPr>
          <w:rFonts w:ascii="Book Antiqua" w:hAnsi="Book Antiqua"/>
        </w:rPr>
        <w:t>pozivom</w:t>
      </w:r>
      <w:proofErr w:type="spellEnd"/>
      <w:r w:rsidR="00430C87">
        <w:rPr>
          <w:rFonts w:ascii="Book Antiqua" w:hAnsi="Book Antiqua"/>
        </w:rPr>
        <w:t>”</w:t>
      </w:r>
    </w:p>
    <w:p w14:paraId="7355B69A" w14:textId="77777777" w:rsidR="009D2F51" w:rsidRPr="009D2F51" w:rsidRDefault="009D2F51" w:rsidP="009D2F51">
      <w:pPr>
        <w:rPr>
          <w:rFonts w:ascii="Book Antiqua" w:hAnsi="Book Antiqua"/>
        </w:rPr>
      </w:pPr>
    </w:p>
    <w:p w14:paraId="3A4B1BE5" w14:textId="77777777" w:rsidR="009D2F51" w:rsidRPr="009D2F51" w:rsidRDefault="009D2F51" w:rsidP="009D2F51">
      <w:pPr>
        <w:jc w:val="center"/>
        <w:rPr>
          <w:rFonts w:ascii="Book Antiqua" w:hAnsi="Book Antiqua"/>
          <w:b/>
          <w:bCs/>
        </w:rPr>
      </w:pPr>
      <w:r w:rsidRPr="009D2F51">
        <w:rPr>
          <w:rFonts w:ascii="Book Antiqua" w:hAnsi="Book Antiqua"/>
          <w:b/>
          <w:bCs/>
        </w:rPr>
        <w:t>Članak 2.</w:t>
      </w:r>
    </w:p>
    <w:p w14:paraId="6E79F409" w14:textId="77777777" w:rsidR="009D2F51" w:rsidRPr="009D2F51" w:rsidRDefault="009D2F51" w:rsidP="009D2F51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Calibri"/>
          <w:b/>
          <w:bCs/>
          <w:color w:val="000000"/>
        </w:rPr>
      </w:pPr>
      <w:r w:rsidRPr="009D2F51">
        <w:rPr>
          <w:rFonts w:ascii="Book Antiqua" w:hAnsi="Book Antiqua"/>
        </w:rPr>
        <w:t xml:space="preserve">Ostale odredbe Programa </w:t>
      </w:r>
      <w:r w:rsidRPr="009D2F51">
        <w:rPr>
          <w:rFonts w:ascii="Book Antiqua" w:eastAsia="Calibri" w:hAnsi="Book Antiqua" w:cs="Times New Roman"/>
          <w:spacing w:val="-3"/>
          <w:u w:color="000000"/>
        </w:rPr>
        <w:t>poticanja razvoja poduzetništva na području Općine Tovarnik za 2021. god.</w:t>
      </w:r>
      <w:r w:rsidRPr="009D2F51">
        <w:rPr>
          <w:rFonts w:ascii="Book Antiqua" w:hAnsi="Book Antiqua"/>
        </w:rPr>
        <w:t xml:space="preserve"> ostaju neizmijenjene. </w:t>
      </w:r>
    </w:p>
    <w:p w14:paraId="5793E0EC" w14:textId="77777777" w:rsidR="009D2F51" w:rsidRPr="009D2F51" w:rsidRDefault="009D2F51" w:rsidP="009D2F51">
      <w:pPr>
        <w:jc w:val="center"/>
        <w:rPr>
          <w:rFonts w:ascii="Book Antiqua" w:hAnsi="Book Antiqua"/>
          <w:b/>
          <w:bCs/>
        </w:rPr>
      </w:pPr>
      <w:r w:rsidRPr="009D2F51">
        <w:rPr>
          <w:rFonts w:ascii="Book Antiqua" w:hAnsi="Book Antiqua"/>
          <w:b/>
          <w:bCs/>
        </w:rPr>
        <w:t>Članak 3.</w:t>
      </w:r>
    </w:p>
    <w:p w14:paraId="5F28AE0D" w14:textId="77777777" w:rsidR="009D2F51" w:rsidRPr="009D2F51" w:rsidRDefault="009D2F51" w:rsidP="009D2F51">
      <w:pPr>
        <w:rPr>
          <w:rFonts w:ascii="Book Antiqua" w:hAnsi="Book Antiqua"/>
        </w:rPr>
      </w:pPr>
      <w:r w:rsidRPr="009D2F51">
        <w:rPr>
          <w:rFonts w:ascii="Book Antiqua" w:hAnsi="Book Antiqua"/>
        </w:rPr>
        <w:t xml:space="preserve">Ova Odluka stupa na snagu osmog dana od dana  objave u „Službenom vjesniku“ Vukovarsko-srijemske županije. </w:t>
      </w:r>
    </w:p>
    <w:p w14:paraId="1CF62B70" w14:textId="2743E6CA" w:rsidR="009D2F51" w:rsidRPr="009D2F51" w:rsidRDefault="009D2F51" w:rsidP="009D2F51">
      <w:pPr>
        <w:rPr>
          <w:rFonts w:ascii="Book Antiqua" w:hAnsi="Book Antiqua"/>
        </w:rPr>
      </w:pPr>
    </w:p>
    <w:p w14:paraId="72F999BD" w14:textId="49CBDBA4" w:rsidR="009D2F51" w:rsidRPr="009D2F51" w:rsidRDefault="009D2F51" w:rsidP="009D2F51">
      <w:pPr>
        <w:jc w:val="right"/>
        <w:rPr>
          <w:rFonts w:ascii="Book Antiqua" w:hAnsi="Book Antiqua"/>
        </w:rPr>
      </w:pPr>
      <w:r w:rsidRPr="009D2F51">
        <w:rPr>
          <w:rFonts w:ascii="Book Antiqua" w:hAnsi="Book Antiqua"/>
        </w:rPr>
        <w:t>PREDSJEDNIK OPĆINSKOG VIJEĆA</w:t>
      </w:r>
    </w:p>
    <w:p w14:paraId="2CB5FD78" w14:textId="300594B4" w:rsidR="009D2F51" w:rsidRPr="009D2F51" w:rsidRDefault="009D2F51" w:rsidP="009D2F51">
      <w:pPr>
        <w:jc w:val="right"/>
        <w:rPr>
          <w:rFonts w:ascii="Book Antiqua" w:hAnsi="Book Antiqua"/>
        </w:rPr>
      </w:pPr>
      <w:r w:rsidRPr="009D2F51">
        <w:rPr>
          <w:rFonts w:ascii="Book Antiqua" w:hAnsi="Book Antiqua"/>
        </w:rPr>
        <w:t>Dubravko Blašković</w:t>
      </w:r>
    </w:p>
    <w:sectPr w:rsidR="009D2F51" w:rsidRPr="009D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1"/>
    <w:rsid w:val="00430C87"/>
    <w:rsid w:val="00571BF0"/>
    <w:rsid w:val="006654AE"/>
    <w:rsid w:val="009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C6C9"/>
  <w15:chartTrackingRefBased/>
  <w15:docId w15:val="{29A104BC-53B2-41F1-9AAF-A39E663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D2F5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2021-12-21T12:18:00Z</dcterms:created>
  <dcterms:modified xsi:type="dcterms:W3CDTF">2021-12-27T13:02:00Z</dcterms:modified>
</cp:coreProperties>
</file>