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9B" w:rsidRPr="00C758DD" w:rsidRDefault="00A8399B" w:rsidP="00A8399B">
      <w:pPr>
        <w:spacing w:after="0"/>
        <w:rPr>
          <w:rFonts w:ascii="Book Antiqua" w:hAnsi="Book Antiqua"/>
          <w:lang w:eastAsia="hr-HR"/>
        </w:rPr>
      </w:pPr>
      <w:r w:rsidRPr="00C758DD">
        <w:rPr>
          <w:rFonts w:ascii="Book Antiqua" w:hAnsi="Book Antiqua"/>
          <w:noProof/>
          <w:lang w:eastAsia="hr-HR"/>
        </w:rPr>
        <w:drawing>
          <wp:anchor distT="0" distB="0" distL="114300" distR="114300" simplePos="0" relativeHeight="251659264" behindDoc="1" locked="0" layoutInCell="1" allowOverlap="1" wp14:anchorId="166EF66F" wp14:editId="39F0BFF0">
            <wp:simplePos x="0" y="0"/>
            <wp:positionH relativeFrom="page">
              <wp:posOffset>1447800</wp:posOffset>
            </wp:positionH>
            <wp:positionV relativeFrom="page">
              <wp:posOffset>817880</wp:posOffset>
            </wp:positionV>
            <wp:extent cx="457200" cy="5918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591820"/>
                    </a:xfrm>
                    <a:prstGeom prst="rect">
                      <a:avLst/>
                    </a:prstGeom>
                    <a:noFill/>
                    <a:ln w="9525">
                      <a:noFill/>
                      <a:miter lim="800000"/>
                      <a:headEnd/>
                      <a:tailEnd/>
                    </a:ln>
                  </pic:spPr>
                </pic:pic>
              </a:graphicData>
            </a:graphic>
          </wp:anchor>
        </w:drawing>
      </w:r>
      <w:r w:rsidRPr="00C758DD">
        <w:rPr>
          <w:rFonts w:ascii="Book Antiqua" w:hAnsi="Book Antiqua"/>
          <w:lang w:eastAsia="hr-HR"/>
        </w:rPr>
        <w:t xml:space="preserve">                </w:t>
      </w:r>
    </w:p>
    <w:p w:rsidR="00A8399B" w:rsidRPr="00C758DD" w:rsidRDefault="00A8399B" w:rsidP="00A8399B">
      <w:pPr>
        <w:spacing w:after="0"/>
        <w:rPr>
          <w:rFonts w:ascii="Book Antiqua" w:hAnsi="Book Antiqua"/>
          <w:lang w:eastAsia="hr-HR"/>
        </w:rPr>
      </w:pPr>
    </w:p>
    <w:p w:rsidR="00A8399B" w:rsidRPr="00C758DD" w:rsidRDefault="00A8399B" w:rsidP="00A8399B">
      <w:pPr>
        <w:spacing w:after="0"/>
        <w:rPr>
          <w:rFonts w:ascii="Book Antiqua" w:hAnsi="Book Antiqua"/>
          <w:lang w:eastAsia="hr-HR"/>
        </w:rPr>
      </w:pPr>
    </w:p>
    <w:p w:rsidR="00A8399B" w:rsidRPr="00C758DD" w:rsidRDefault="00A8399B" w:rsidP="00A8399B">
      <w:pPr>
        <w:spacing w:after="0"/>
        <w:rPr>
          <w:rFonts w:ascii="Book Antiqua" w:hAnsi="Book Antiqua"/>
          <w:lang w:eastAsia="hr-HR"/>
        </w:rPr>
      </w:pPr>
      <w:r w:rsidRPr="00C758DD">
        <w:rPr>
          <w:rFonts w:ascii="Book Antiqua" w:hAnsi="Book Antiqua"/>
          <w:lang w:eastAsia="hr-HR"/>
        </w:rPr>
        <w:t>REPUBLIKA HRVATSKA</w:t>
      </w:r>
    </w:p>
    <w:p w:rsidR="00A8399B" w:rsidRPr="00C758DD" w:rsidRDefault="00A8399B" w:rsidP="00A8399B">
      <w:pPr>
        <w:spacing w:after="0"/>
        <w:rPr>
          <w:rFonts w:ascii="Book Antiqua" w:hAnsi="Book Antiqua"/>
          <w:lang w:eastAsia="hr-HR"/>
        </w:rPr>
      </w:pPr>
      <w:r w:rsidRPr="00C758DD">
        <w:rPr>
          <w:rFonts w:ascii="Book Antiqua" w:hAnsi="Book Antiqua"/>
          <w:lang w:eastAsia="hr-HR"/>
        </w:rPr>
        <w:t>VUKOVARSKO-SRIJEMSKA ŽUPANIJA</w:t>
      </w:r>
    </w:p>
    <w:p w:rsidR="00A8399B" w:rsidRPr="00C758DD" w:rsidRDefault="00A8399B" w:rsidP="00A8399B">
      <w:pPr>
        <w:spacing w:after="0"/>
        <w:rPr>
          <w:rFonts w:ascii="Book Antiqua" w:hAnsi="Book Antiqua"/>
          <w:b/>
          <w:lang w:eastAsia="hr-HR"/>
        </w:rPr>
      </w:pPr>
      <w:r w:rsidRPr="00C758DD">
        <w:rPr>
          <w:rFonts w:ascii="Book Antiqua" w:hAnsi="Book Antiqua"/>
          <w:noProof/>
          <w:lang w:eastAsia="hr-HR"/>
        </w:rPr>
        <w:drawing>
          <wp:anchor distT="0" distB="0" distL="114300" distR="114300" simplePos="0" relativeHeight="251660288" behindDoc="0" locked="0" layoutInCell="1" allowOverlap="1" wp14:anchorId="64003C31" wp14:editId="7812141D">
            <wp:simplePos x="0" y="0"/>
            <wp:positionH relativeFrom="column">
              <wp:posOffset>138430</wp:posOffset>
            </wp:positionH>
            <wp:positionV relativeFrom="paragraph">
              <wp:posOffset>48260</wp:posOffset>
            </wp:positionV>
            <wp:extent cx="333375" cy="414020"/>
            <wp:effectExtent l="19050" t="0" r="9525"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C758DD">
        <w:rPr>
          <w:rFonts w:ascii="Book Antiqua" w:hAnsi="Book Antiqua"/>
          <w:lang w:eastAsia="hr-HR"/>
        </w:rPr>
        <w:t xml:space="preserve"> </w:t>
      </w:r>
      <w:r w:rsidRPr="00C758DD">
        <w:rPr>
          <w:rFonts w:ascii="Book Antiqua" w:hAnsi="Book Antiqua"/>
          <w:b/>
          <w:lang w:eastAsia="hr-HR"/>
        </w:rPr>
        <w:t>OPĆINA TOVARNIK</w:t>
      </w:r>
    </w:p>
    <w:p w:rsidR="00A8399B" w:rsidRPr="00C758DD" w:rsidRDefault="00A8399B" w:rsidP="00A8399B">
      <w:pPr>
        <w:spacing w:after="0"/>
        <w:rPr>
          <w:rFonts w:ascii="Book Antiqua" w:hAnsi="Book Antiqua"/>
          <w:b/>
          <w:lang w:eastAsia="hr-HR"/>
        </w:rPr>
      </w:pPr>
      <w:r w:rsidRPr="00C758DD">
        <w:rPr>
          <w:rFonts w:ascii="Book Antiqua" w:hAnsi="Book Antiqua"/>
          <w:b/>
          <w:lang w:eastAsia="hr-HR"/>
        </w:rPr>
        <w:t xml:space="preserve"> OPĆINSKI NAČELNIK</w:t>
      </w:r>
    </w:p>
    <w:p w:rsidR="00A8399B" w:rsidRPr="00C758DD" w:rsidRDefault="00A8399B" w:rsidP="00A8399B">
      <w:pPr>
        <w:spacing w:after="0"/>
        <w:rPr>
          <w:rFonts w:ascii="Book Antiqua" w:hAnsi="Book Antiqua"/>
          <w:lang w:eastAsia="hr-HR"/>
        </w:rPr>
      </w:pPr>
    </w:p>
    <w:p w:rsidR="00A8399B" w:rsidRPr="00C758DD" w:rsidRDefault="00A8399B" w:rsidP="00A8399B">
      <w:pPr>
        <w:spacing w:after="0"/>
        <w:rPr>
          <w:rFonts w:ascii="Book Antiqua" w:hAnsi="Book Antiqua"/>
          <w:lang w:eastAsia="hr-HR"/>
        </w:rPr>
      </w:pPr>
    </w:p>
    <w:p w:rsidR="00A8399B" w:rsidRPr="00C758DD" w:rsidRDefault="00A8399B" w:rsidP="00A8399B">
      <w:pPr>
        <w:rPr>
          <w:rFonts w:ascii="Book Antiqua" w:hAnsi="Book Antiqua"/>
        </w:rPr>
      </w:pPr>
      <w:r>
        <w:rPr>
          <w:rFonts w:ascii="Book Antiqua" w:hAnsi="Book Antiqua"/>
        </w:rPr>
        <w:t>KLASA: 021-05/21-03/4</w:t>
      </w:r>
    </w:p>
    <w:p w:rsidR="00A8399B" w:rsidRPr="00C758DD" w:rsidRDefault="00A8399B" w:rsidP="00A8399B">
      <w:pPr>
        <w:rPr>
          <w:rFonts w:ascii="Book Antiqua" w:hAnsi="Book Antiqua"/>
        </w:rPr>
      </w:pPr>
      <w:r>
        <w:rPr>
          <w:rFonts w:ascii="Book Antiqua" w:hAnsi="Book Antiqua"/>
        </w:rPr>
        <w:t>URBROJ:2188/12-04-21-10</w:t>
      </w:r>
    </w:p>
    <w:p w:rsidR="00A8399B" w:rsidRPr="00C758DD" w:rsidRDefault="00A8399B" w:rsidP="00A8399B">
      <w:pPr>
        <w:rPr>
          <w:rFonts w:ascii="Book Antiqua" w:hAnsi="Book Antiqua"/>
        </w:rPr>
      </w:pPr>
      <w:r>
        <w:rPr>
          <w:rFonts w:ascii="Book Antiqua" w:hAnsi="Book Antiqua"/>
        </w:rPr>
        <w:t>Tovarnik, 30.3.2021.</w:t>
      </w:r>
    </w:p>
    <w:p w:rsidR="00A8399B" w:rsidRPr="00C758DD" w:rsidRDefault="00A8399B" w:rsidP="00A8399B">
      <w:pPr>
        <w:autoSpaceDE w:val="0"/>
        <w:autoSpaceDN w:val="0"/>
        <w:adjustRightInd w:val="0"/>
        <w:spacing w:after="0"/>
        <w:jc w:val="right"/>
        <w:rPr>
          <w:rFonts w:ascii="Book Antiqua" w:hAnsi="Book Antiqua"/>
          <w:lang w:eastAsia="hr-HR"/>
        </w:rPr>
      </w:pPr>
    </w:p>
    <w:p w:rsidR="00A8399B" w:rsidRPr="00C758DD" w:rsidRDefault="00A8399B" w:rsidP="00A8399B">
      <w:pPr>
        <w:spacing w:after="0" w:line="240" w:lineRule="auto"/>
        <w:ind w:right="23"/>
        <w:jc w:val="both"/>
        <w:rPr>
          <w:rFonts w:ascii="Book Antiqua" w:eastAsia="Times New Roman" w:hAnsi="Book Antiqua" w:cs="Times New Roman"/>
          <w:b/>
          <w:bCs/>
          <w:lang w:eastAsia="hr-HR"/>
        </w:rPr>
      </w:pPr>
    </w:p>
    <w:p w:rsidR="00A8399B" w:rsidRPr="00C758DD" w:rsidRDefault="00A8399B" w:rsidP="00A8399B">
      <w:pPr>
        <w:pStyle w:val="Bezproreda"/>
        <w:jc w:val="both"/>
        <w:rPr>
          <w:rFonts w:ascii="Book Antiqua" w:hAnsi="Book Antiqua"/>
          <w:sz w:val="20"/>
          <w:szCs w:val="20"/>
        </w:rPr>
      </w:pPr>
      <w:r w:rsidRPr="00C758DD">
        <w:rPr>
          <w:rFonts w:ascii="Book Antiqua" w:hAnsi="Book Antiqua"/>
          <w:sz w:val="20"/>
          <w:szCs w:val="20"/>
        </w:rPr>
        <w:t>Na temelju članka 31. Statuta Općine Tovarnik („Službeni vjesnik  Vukovarsko-srijemske županije“, broj 3/21 ),</w:t>
      </w:r>
      <w:r w:rsidRPr="00C758DD">
        <w:rPr>
          <w:rFonts w:ascii="Book Antiqua" w:eastAsia="Times New Roman" w:hAnsi="Book Antiqua"/>
          <w:bCs/>
          <w:lang w:eastAsia="hr-HR"/>
        </w:rPr>
        <w:t xml:space="preserve"> članka </w:t>
      </w:r>
      <w:r w:rsidRPr="00C758DD">
        <w:rPr>
          <w:rFonts w:ascii="Book Antiqua" w:hAnsi="Book Antiqua"/>
          <w:sz w:val="20"/>
          <w:szCs w:val="20"/>
        </w:rPr>
        <w:t xml:space="preserve">čl. 110 st. 2.  </w:t>
      </w:r>
      <w:r w:rsidRPr="00C758DD">
        <w:rPr>
          <w:rFonts w:ascii="Book Antiqua" w:eastAsia="Times New Roman" w:hAnsi="Book Antiqua"/>
          <w:bCs/>
          <w:lang w:eastAsia="hr-HR"/>
        </w:rPr>
        <w:t>Zakona  proračuna ( Narodne novine br.</w:t>
      </w:r>
      <w:r w:rsidRPr="00C758DD">
        <w:rPr>
          <w:rFonts w:ascii="Book Antiqua" w:hAnsi="Book Antiqua"/>
        </w:rPr>
        <w:t xml:space="preserve"> </w:t>
      </w:r>
      <w:hyperlink r:id="rId9" w:history="1">
        <w:r w:rsidRPr="00C758DD">
          <w:rPr>
            <w:rStyle w:val="Hiperveza"/>
            <w:rFonts w:ascii="Book Antiqua" w:hAnsi="Book Antiqua"/>
            <w:color w:val="auto"/>
          </w:rPr>
          <w:t>87/08</w:t>
        </w:r>
      </w:hyperlink>
      <w:r w:rsidRPr="00C758DD">
        <w:rPr>
          <w:rFonts w:ascii="Book Antiqua" w:hAnsi="Book Antiqua"/>
        </w:rPr>
        <w:t xml:space="preserve">, </w:t>
      </w:r>
      <w:hyperlink r:id="rId10" w:history="1">
        <w:r w:rsidRPr="00C758DD">
          <w:rPr>
            <w:rStyle w:val="Hiperveza"/>
            <w:rFonts w:ascii="Book Antiqua" w:hAnsi="Book Antiqua"/>
            <w:color w:val="auto"/>
          </w:rPr>
          <w:t>136/12</w:t>
        </w:r>
      </w:hyperlink>
      <w:r w:rsidRPr="00C758DD">
        <w:rPr>
          <w:rFonts w:ascii="Book Antiqua" w:hAnsi="Book Antiqua"/>
        </w:rPr>
        <w:t xml:space="preserve">, </w:t>
      </w:r>
      <w:hyperlink r:id="rId11" w:history="1">
        <w:r w:rsidRPr="00C758DD">
          <w:rPr>
            <w:rStyle w:val="Hiperveza"/>
            <w:rFonts w:ascii="Book Antiqua" w:hAnsi="Book Antiqua"/>
            <w:color w:val="auto"/>
          </w:rPr>
          <w:t>15/15</w:t>
        </w:r>
      </w:hyperlink>
      <w:r w:rsidRPr="00C758DD">
        <w:rPr>
          <w:rFonts w:ascii="Book Antiqua" w:hAnsi="Book Antiqua"/>
        </w:rPr>
        <w:t xml:space="preserve"> </w:t>
      </w:r>
      <w:r w:rsidRPr="00C758DD">
        <w:rPr>
          <w:rFonts w:ascii="Book Antiqua" w:eastAsia="Times New Roman" w:hAnsi="Book Antiqua"/>
          <w:bCs/>
          <w:lang w:eastAsia="hr-HR"/>
        </w:rPr>
        <w:t>.)</w:t>
      </w:r>
      <w:r w:rsidRPr="00C758DD">
        <w:rPr>
          <w:rFonts w:ascii="Book Antiqua" w:hAnsi="Book Antiqua"/>
          <w:sz w:val="20"/>
          <w:szCs w:val="20"/>
        </w:rPr>
        <w:t xml:space="preserve"> Općinsko vijeće Općine Tovarnik na </w:t>
      </w:r>
      <w:r>
        <w:rPr>
          <w:rFonts w:ascii="Book Antiqua" w:hAnsi="Book Antiqua"/>
          <w:sz w:val="20"/>
          <w:szCs w:val="20"/>
        </w:rPr>
        <w:t>svojoj 33. Sjednici, održanoj 30</w:t>
      </w:r>
      <w:r w:rsidRPr="00C758DD">
        <w:rPr>
          <w:rFonts w:ascii="Book Antiqua" w:hAnsi="Book Antiqua"/>
          <w:sz w:val="20"/>
          <w:szCs w:val="20"/>
        </w:rPr>
        <w:t>.3.2021. godine, donosi</w:t>
      </w:r>
    </w:p>
    <w:p w:rsidR="00A8399B" w:rsidRDefault="00A8399B" w:rsidP="00A8399B">
      <w:pPr>
        <w:jc w:val="center"/>
        <w:rPr>
          <w:rFonts w:ascii="Book Antiqua" w:hAnsi="Book Antiqua"/>
          <w:b/>
          <w:sz w:val="24"/>
          <w:szCs w:val="24"/>
          <w:lang w:eastAsia="hr-HR"/>
        </w:rPr>
      </w:pPr>
    </w:p>
    <w:p w:rsidR="00A8399B" w:rsidRDefault="00A8399B" w:rsidP="00A8399B">
      <w:pPr>
        <w:jc w:val="center"/>
        <w:rPr>
          <w:rFonts w:ascii="Book Antiqua" w:hAnsi="Book Antiqua"/>
          <w:b/>
          <w:sz w:val="24"/>
          <w:szCs w:val="24"/>
          <w:lang w:eastAsia="hr-HR"/>
        </w:rPr>
      </w:pPr>
    </w:p>
    <w:p w:rsidR="008C3C2C" w:rsidRDefault="00A8399B" w:rsidP="00A8399B">
      <w:pPr>
        <w:jc w:val="center"/>
        <w:rPr>
          <w:rFonts w:ascii="Book Antiqua" w:hAnsi="Book Antiqua"/>
          <w:b/>
          <w:sz w:val="24"/>
          <w:szCs w:val="24"/>
          <w:lang w:eastAsia="hr-HR"/>
        </w:rPr>
      </w:pPr>
      <w:r w:rsidRPr="00C758DD">
        <w:rPr>
          <w:rFonts w:ascii="Book Antiqua" w:hAnsi="Book Antiqua"/>
          <w:b/>
          <w:sz w:val="24"/>
          <w:szCs w:val="24"/>
          <w:lang w:eastAsia="hr-HR"/>
        </w:rPr>
        <w:t>ODLUKU</w:t>
      </w:r>
    </w:p>
    <w:p w:rsidR="00A8399B" w:rsidRPr="00C758DD" w:rsidRDefault="00A8399B" w:rsidP="00A8399B">
      <w:pPr>
        <w:jc w:val="center"/>
        <w:rPr>
          <w:rFonts w:ascii="Book Antiqua" w:hAnsi="Book Antiqua"/>
          <w:b/>
          <w:sz w:val="24"/>
          <w:szCs w:val="24"/>
          <w:lang w:eastAsia="hr-HR"/>
        </w:rPr>
      </w:pPr>
      <w:r w:rsidRPr="00C758DD">
        <w:rPr>
          <w:rFonts w:ascii="Book Antiqua" w:hAnsi="Book Antiqua"/>
          <w:b/>
          <w:sz w:val="24"/>
          <w:szCs w:val="24"/>
          <w:lang w:eastAsia="hr-HR"/>
        </w:rPr>
        <w:t xml:space="preserve"> O USVAJANJU</w:t>
      </w:r>
      <w:r>
        <w:rPr>
          <w:rFonts w:ascii="Book Antiqua" w:hAnsi="Book Antiqua"/>
          <w:b/>
          <w:sz w:val="24"/>
          <w:szCs w:val="24"/>
          <w:lang w:eastAsia="hr-HR"/>
        </w:rPr>
        <w:t xml:space="preserve"> GODIŠNJEG </w:t>
      </w:r>
      <w:r w:rsidRPr="00C758DD">
        <w:rPr>
          <w:rFonts w:ascii="Book Antiqua" w:hAnsi="Book Antiqua"/>
          <w:b/>
          <w:sz w:val="24"/>
          <w:szCs w:val="24"/>
          <w:lang w:eastAsia="hr-HR"/>
        </w:rPr>
        <w:t xml:space="preserve"> IZVJEŠTAJA O </w:t>
      </w:r>
      <w:r>
        <w:rPr>
          <w:rFonts w:ascii="Book Antiqua" w:hAnsi="Book Antiqua"/>
          <w:b/>
          <w:sz w:val="24"/>
          <w:szCs w:val="24"/>
          <w:lang w:eastAsia="hr-HR"/>
        </w:rPr>
        <w:t>IZVRŠENJU PRORAČUNA OPĆINE TOVARNIK OD 1.1-31.12.2020.</w:t>
      </w:r>
    </w:p>
    <w:p w:rsidR="00A8399B" w:rsidRPr="00C758DD" w:rsidRDefault="00A8399B" w:rsidP="00A8399B">
      <w:pPr>
        <w:spacing w:after="0"/>
        <w:jc w:val="center"/>
        <w:rPr>
          <w:rFonts w:ascii="Book Antiqua" w:hAnsi="Book Antiqua"/>
          <w:b/>
        </w:rPr>
      </w:pPr>
    </w:p>
    <w:p w:rsidR="00A8399B" w:rsidRPr="00C758DD" w:rsidRDefault="00A8399B" w:rsidP="00A8399B">
      <w:pPr>
        <w:spacing w:after="0"/>
        <w:jc w:val="center"/>
        <w:rPr>
          <w:rFonts w:ascii="Book Antiqua" w:hAnsi="Book Antiqua"/>
        </w:rPr>
      </w:pPr>
      <w:r w:rsidRPr="00C758DD">
        <w:rPr>
          <w:rFonts w:ascii="Book Antiqua" w:hAnsi="Book Antiqua"/>
          <w:b/>
        </w:rPr>
        <w:t>Članak 1.</w:t>
      </w:r>
    </w:p>
    <w:p w:rsidR="00A8399B" w:rsidRPr="00C758DD" w:rsidRDefault="00A8399B" w:rsidP="00A8399B">
      <w:pPr>
        <w:autoSpaceDE w:val="0"/>
        <w:autoSpaceDN w:val="0"/>
        <w:adjustRightInd w:val="0"/>
        <w:spacing w:after="0"/>
        <w:rPr>
          <w:rFonts w:ascii="Book Antiqua" w:hAnsi="Book Antiqua"/>
        </w:rPr>
      </w:pPr>
    </w:p>
    <w:p w:rsidR="00A8399B" w:rsidRPr="00C758DD" w:rsidRDefault="00A8399B" w:rsidP="00A8399B">
      <w:pPr>
        <w:jc w:val="both"/>
        <w:rPr>
          <w:rFonts w:ascii="Book Antiqua" w:hAnsi="Book Antiqua"/>
        </w:rPr>
      </w:pPr>
      <w:r w:rsidRPr="00C758DD">
        <w:rPr>
          <w:rFonts w:ascii="Book Antiqua" w:hAnsi="Book Antiqua"/>
        </w:rPr>
        <w:t xml:space="preserve">Usvaja se </w:t>
      </w:r>
      <w:r>
        <w:rPr>
          <w:rFonts w:ascii="Book Antiqua" w:hAnsi="Book Antiqua"/>
        </w:rPr>
        <w:t>godišji</w:t>
      </w:r>
      <w:r w:rsidRPr="00C758DD">
        <w:rPr>
          <w:rFonts w:ascii="Book Antiqua" w:hAnsi="Book Antiqua"/>
        </w:rPr>
        <w:t xml:space="preserve"> izvještaj o </w:t>
      </w:r>
      <w:r>
        <w:rPr>
          <w:rFonts w:ascii="Book Antiqua" w:hAnsi="Book Antiqua"/>
        </w:rPr>
        <w:t>izvršenju proračuna Općine Tovarnik od 1.1.-31.12.2020.</w:t>
      </w:r>
    </w:p>
    <w:p w:rsidR="00A8399B" w:rsidRDefault="00A8399B" w:rsidP="00A8399B">
      <w:pPr>
        <w:autoSpaceDE w:val="0"/>
        <w:autoSpaceDN w:val="0"/>
        <w:adjustRightInd w:val="0"/>
        <w:spacing w:after="0"/>
        <w:jc w:val="center"/>
        <w:rPr>
          <w:rFonts w:ascii="Book Antiqua" w:hAnsi="Book Antiqua"/>
          <w:b/>
        </w:rPr>
      </w:pPr>
    </w:p>
    <w:p w:rsidR="00A8399B" w:rsidRPr="00C758DD" w:rsidRDefault="00A8399B" w:rsidP="00A8399B">
      <w:pPr>
        <w:autoSpaceDE w:val="0"/>
        <w:autoSpaceDN w:val="0"/>
        <w:adjustRightInd w:val="0"/>
        <w:spacing w:after="0"/>
        <w:jc w:val="center"/>
        <w:rPr>
          <w:rFonts w:ascii="Book Antiqua" w:hAnsi="Book Antiqua"/>
          <w:b/>
        </w:rPr>
      </w:pPr>
      <w:r w:rsidRPr="00C758DD">
        <w:rPr>
          <w:rFonts w:ascii="Book Antiqua" w:hAnsi="Book Antiqua"/>
          <w:b/>
        </w:rPr>
        <w:t>Članak 2.</w:t>
      </w:r>
    </w:p>
    <w:p w:rsidR="00A8399B" w:rsidRPr="00C758DD" w:rsidRDefault="00A8399B" w:rsidP="00A8399B">
      <w:pPr>
        <w:autoSpaceDE w:val="0"/>
        <w:autoSpaceDN w:val="0"/>
        <w:adjustRightInd w:val="0"/>
        <w:spacing w:after="0"/>
        <w:rPr>
          <w:rFonts w:ascii="Book Antiqua" w:hAnsi="Book Antiqua"/>
        </w:rPr>
      </w:pPr>
    </w:p>
    <w:p w:rsidR="00A8399B" w:rsidRPr="00C758DD" w:rsidRDefault="00A8399B" w:rsidP="00A8399B">
      <w:pPr>
        <w:autoSpaceDE w:val="0"/>
        <w:autoSpaceDN w:val="0"/>
        <w:adjustRightInd w:val="0"/>
        <w:spacing w:after="0"/>
        <w:rPr>
          <w:rFonts w:ascii="Book Antiqua" w:hAnsi="Book Antiqua"/>
        </w:rPr>
      </w:pPr>
      <w:r w:rsidRPr="00C758DD">
        <w:rPr>
          <w:rFonts w:ascii="Book Antiqua" w:hAnsi="Book Antiqua"/>
        </w:rPr>
        <w:t>Izvještaj iz članka 1. ove Odluke je sastavni dio ove Odluke.</w:t>
      </w:r>
    </w:p>
    <w:p w:rsidR="00A8399B" w:rsidRPr="00C758DD" w:rsidRDefault="00A8399B" w:rsidP="00A8399B">
      <w:pPr>
        <w:autoSpaceDE w:val="0"/>
        <w:autoSpaceDN w:val="0"/>
        <w:adjustRightInd w:val="0"/>
        <w:spacing w:after="0"/>
        <w:jc w:val="center"/>
        <w:rPr>
          <w:rFonts w:ascii="Book Antiqua" w:hAnsi="Book Antiqua"/>
          <w:b/>
        </w:rPr>
      </w:pPr>
    </w:p>
    <w:p w:rsidR="00A8399B" w:rsidRDefault="00A8399B" w:rsidP="00A8399B">
      <w:pPr>
        <w:autoSpaceDE w:val="0"/>
        <w:autoSpaceDN w:val="0"/>
        <w:adjustRightInd w:val="0"/>
        <w:spacing w:after="0"/>
        <w:jc w:val="center"/>
        <w:rPr>
          <w:rFonts w:ascii="Book Antiqua" w:hAnsi="Book Antiqua"/>
          <w:b/>
        </w:rPr>
      </w:pPr>
    </w:p>
    <w:p w:rsidR="00A8399B" w:rsidRPr="00C758DD" w:rsidRDefault="00A8399B" w:rsidP="00A8399B">
      <w:pPr>
        <w:autoSpaceDE w:val="0"/>
        <w:autoSpaceDN w:val="0"/>
        <w:adjustRightInd w:val="0"/>
        <w:spacing w:after="0"/>
        <w:jc w:val="center"/>
        <w:rPr>
          <w:rFonts w:ascii="Book Antiqua" w:hAnsi="Book Antiqua"/>
          <w:b/>
        </w:rPr>
      </w:pPr>
      <w:r w:rsidRPr="00C758DD">
        <w:rPr>
          <w:rFonts w:ascii="Book Antiqua" w:hAnsi="Book Antiqua"/>
          <w:b/>
        </w:rPr>
        <w:t>Članak 3.</w:t>
      </w:r>
    </w:p>
    <w:p w:rsidR="00A8399B" w:rsidRPr="00C758DD" w:rsidRDefault="00A8399B" w:rsidP="00A8399B">
      <w:pPr>
        <w:autoSpaceDE w:val="0"/>
        <w:autoSpaceDN w:val="0"/>
        <w:adjustRightInd w:val="0"/>
        <w:spacing w:after="0"/>
        <w:rPr>
          <w:rFonts w:ascii="Book Antiqua" w:hAnsi="Book Antiqua"/>
        </w:rPr>
      </w:pPr>
    </w:p>
    <w:p w:rsidR="00A8399B" w:rsidRPr="00C758DD" w:rsidRDefault="00A8399B" w:rsidP="00A8399B">
      <w:pPr>
        <w:autoSpaceDE w:val="0"/>
        <w:autoSpaceDN w:val="0"/>
        <w:adjustRightInd w:val="0"/>
        <w:spacing w:after="0"/>
        <w:rPr>
          <w:rFonts w:ascii="Book Antiqua" w:hAnsi="Book Antiqua"/>
        </w:rPr>
      </w:pPr>
      <w:r w:rsidRPr="00C758DD">
        <w:rPr>
          <w:rFonts w:ascii="Book Antiqua" w:hAnsi="Book Antiqua"/>
        </w:rPr>
        <w:t xml:space="preserve">Ova će se Odluka objaviti u „Službenom vjesniku“  Vukovarsko-srijemske županije.  </w:t>
      </w:r>
    </w:p>
    <w:p w:rsidR="00A8399B" w:rsidRPr="00C758DD" w:rsidRDefault="00A8399B" w:rsidP="00A8399B">
      <w:pPr>
        <w:rPr>
          <w:rFonts w:ascii="Book Antiqua" w:hAnsi="Book Antiqua"/>
        </w:rPr>
      </w:pPr>
    </w:p>
    <w:p w:rsidR="00A8399B" w:rsidRDefault="00A8399B" w:rsidP="00A8399B">
      <w:pPr>
        <w:jc w:val="right"/>
        <w:rPr>
          <w:rFonts w:ascii="Book Antiqua" w:hAnsi="Book Antiqua"/>
          <w:b/>
        </w:rPr>
      </w:pPr>
    </w:p>
    <w:p w:rsidR="00A8399B" w:rsidRDefault="00A8399B" w:rsidP="00A8399B">
      <w:pPr>
        <w:jc w:val="right"/>
        <w:rPr>
          <w:rFonts w:ascii="Book Antiqua" w:hAnsi="Book Antiqua"/>
          <w:b/>
        </w:rPr>
      </w:pPr>
      <w:r>
        <w:rPr>
          <w:rFonts w:ascii="Book Antiqua" w:hAnsi="Book Antiqua"/>
          <w:b/>
        </w:rPr>
        <w:t>PRESJEDNIK VIJEĆA</w:t>
      </w:r>
    </w:p>
    <w:p w:rsidR="00A8399B" w:rsidRDefault="00A8399B" w:rsidP="00A8399B">
      <w:pPr>
        <w:jc w:val="right"/>
        <w:rPr>
          <w:rFonts w:ascii="Book Antiqua" w:hAnsi="Book Antiqua"/>
          <w:b/>
        </w:rPr>
      </w:pPr>
      <w:r>
        <w:rPr>
          <w:rFonts w:ascii="Book Antiqua" w:hAnsi="Book Antiqua"/>
          <w:b/>
        </w:rPr>
        <w:t>Dubravko Blašković</w:t>
      </w:r>
    </w:p>
    <w:p w:rsidR="00A8399B" w:rsidRDefault="00A8399B" w:rsidP="00A8399B">
      <w:pPr>
        <w:rPr>
          <w:rFonts w:ascii="Book Antiqua" w:hAnsi="Book Antiqua"/>
          <w:b/>
        </w:rPr>
      </w:pPr>
    </w:p>
    <w:p w:rsidR="008C3C2C" w:rsidRDefault="008C3C2C" w:rsidP="008C3C2C">
      <w:pPr>
        <w:widowControl w:val="0"/>
        <w:tabs>
          <w:tab w:val="left" w:pos="90"/>
        </w:tabs>
        <w:autoSpaceDE w:val="0"/>
        <w:autoSpaceDN w:val="0"/>
        <w:adjustRightInd w:val="0"/>
        <w:spacing w:before="216" w:after="0" w:line="240" w:lineRule="auto"/>
        <w:rPr>
          <w:rFonts w:ascii="Times New Roman" w:hAnsi="Times New Roman" w:cs="Times New Roman"/>
          <w:b/>
          <w:bCs/>
        </w:rPr>
      </w:pPr>
    </w:p>
    <w:p w:rsidR="008C3C2C" w:rsidRPr="00572AE0" w:rsidRDefault="008C3C2C" w:rsidP="008C3C2C">
      <w:pPr>
        <w:widowControl w:val="0"/>
        <w:tabs>
          <w:tab w:val="left" w:pos="90"/>
        </w:tabs>
        <w:autoSpaceDE w:val="0"/>
        <w:autoSpaceDN w:val="0"/>
        <w:adjustRightInd w:val="0"/>
        <w:spacing w:before="216" w:after="0" w:line="240" w:lineRule="auto"/>
        <w:jc w:val="center"/>
        <w:rPr>
          <w:rFonts w:ascii="Times New Roman" w:hAnsi="Times New Roman" w:cs="Times New Roman"/>
          <w:b/>
          <w:color w:val="000000"/>
        </w:rPr>
      </w:pPr>
      <w:r w:rsidRPr="00572AE0">
        <w:rPr>
          <w:rFonts w:ascii="Times New Roman" w:hAnsi="Times New Roman" w:cs="Times New Roman"/>
          <w:b/>
          <w:bCs/>
        </w:rPr>
        <w:t>G</w:t>
      </w:r>
      <w:r w:rsidRPr="00572AE0">
        <w:rPr>
          <w:rFonts w:ascii="Times New Roman" w:hAnsi="Times New Roman" w:cs="Times New Roman"/>
          <w:b/>
        </w:rPr>
        <w:t>odišnji izvještaj o izvršenju Proračuna općine Tovarnik</w:t>
      </w:r>
      <w:r w:rsidRPr="00572AE0">
        <w:rPr>
          <w:rFonts w:ascii="Times New Roman" w:hAnsi="Times New Roman" w:cs="Times New Roman"/>
          <w:b/>
          <w:bCs/>
          <w:color w:val="000000"/>
        </w:rPr>
        <w:t xml:space="preserve"> za </w:t>
      </w:r>
      <w:r w:rsidRPr="00572AE0">
        <w:rPr>
          <w:rFonts w:ascii="Times New Roman" w:hAnsi="Times New Roman" w:cs="Times New Roman"/>
          <w:b/>
          <w:color w:val="000000"/>
        </w:rPr>
        <w:t>2020. godinu</w:t>
      </w:r>
    </w:p>
    <w:p w:rsidR="008C3C2C" w:rsidRPr="007601FE" w:rsidRDefault="008C3C2C" w:rsidP="008C3C2C">
      <w:pPr>
        <w:spacing w:after="0" w:line="240" w:lineRule="auto"/>
        <w:jc w:val="center"/>
        <w:rPr>
          <w:rFonts w:ascii="Times New Roman" w:hAnsi="Times New Roman" w:cs="Times New Roman"/>
          <w:b/>
          <w:bCs/>
          <w:sz w:val="20"/>
          <w:szCs w:val="20"/>
        </w:rPr>
      </w:pPr>
    </w:p>
    <w:p w:rsidR="008C3C2C" w:rsidRPr="000B7B17" w:rsidRDefault="008C3C2C" w:rsidP="008C3C2C">
      <w:pPr>
        <w:widowControl w:val="0"/>
        <w:tabs>
          <w:tab w:val="center" w:pos="5182"/>
        </w:tabs>
        <w:autoSpaceDE w:val="0"/>
        <w:autoSpaceDN w:val="0"/>
        <w:adjustRightInd w:val="0"/>
        <w:spacing w:before="121" w:after="0" w:line="240" w:lineRule="auto"/>
        <w:jc w:val="center"/>
        <w:rPr>
          <w:rFonts w:ascii="Times New Roman" w:hAnsi="Times New Roman" w:cs="Times New Roman"/>
          <w:b/>
          <w:bCs/>
          <w:color w:val="000000"/>
        </w:rPr>
      </w:pPr>
      <w:r w:rsidRPr="000B7B17">
        <w:rPr>
          <w:rFonts w:ascii="Times New Roman" w:hAnsi="Times New Roman" w:cs="Times New Roman"/>
          <w:b/>
          <w:bCs/>
          <w:color w:val="000000"/>
        </w:rPr>
        <w:t>I. OPĆI</w:t>
      </w:r>
      <w:r>
        <w:rPr>
          <w:rFonts w:ascii="Times New Roman" w:hAnsi="Times New Roman" w:cs="Times New Roman"/>
          <w:b/>
          <w:bCs/>
          <w:color w:val="000000"/>
        </w:rPr>
        <w:t xml:space="preserve"> DIO</w:t>
      </w:r>
    </w:p>
    <w:p w:rsidR="008C3C2C" w:rsidRDefault="008C3C2C" w:rsidP="008C3C2C">
      <w:pPr>
        <w:widowControl w:val="0"/>
        <w:tabs>
          <w:tab w:val="center" w:pos="5200"/>
        </w:tabs>
        <w:autoSpaceDE w:val="0"/>
        <w:autoSpaceDN w:val="0"/>
        <w:adjustRightInd w:val="0"/>
        <w:spacing w:after="0" w:line="240" w:lineRule="auto"/>
        <w:jc w:val="center"/>
        <w:rPr>
          <w:rFonts w:ascii="Times New Roman" w:hAnsi="Times New Roman" w:cs="Times New Roman"/>
          <w:b/>
          <w:bCs/>
          <w:color w:val="000000"/>
          <w:sz w:val="18"/>
          <w:szCs w:val="18"/>
        </w:rPr>
      </w:pPr>
    </w:p>
    <w:p w:rsidR="008C3C2C" w:rsidRPr="0083559B" w:rsidRDefault="008C3C2C" w:rsidP="008C3C2C">
      <w:pPr>
        <w:widowControl w:val="0"/>
        <w:tabs>
          <w:tab w:val="center" w:pos="5200"/>
        </w:tabs>
        <w:autoSpaceDE w:val="0"/>
        <w:autoSpaceDN w:val="0"/>
        <w:adjustRightInd w:val="0"/>
        <w:spacing w:after="0" w:line="240" w:lineRule="auto"/>
        <w:jc w:val="center"/>
        <w:rPr>
          <w:rFonts w:ascii="Times New Roman" w:hAnsi="Times New Roman" w:cs="Times New Roman"/>
          <w:b/>
          <w:bCs/>
          <w:color w:val="000000"/>
        </w:rPr>
      </w:pPr>
      <w:r w:rsidRPr="0083559B">
        <w:rPr>
          <w:rFonts w:ascii="Times New Roman" w:hAnsi="Times New Roman" w:cs="Times New Roman"/>
          <w:b/>
          <w:bCs/>
          <w:color w:val="000000"/>
        </w:rPr>
        <w:t>Članak 1.</w:t>
      </w:r>
    </w:p>
    <w:p w:rsidR="008C3C2C" w:rsidRPr="00DF5DF8" w:rsidRDefault="008C3C2C" w:rsidP="008C3C2C">
      <w:pPr>
        <w:widowControl w:val="0"/>
        <w:tabs>
          <w:tab w:val="left" w:pos="90"/>
        </w:tabs>
        <w:autoSpaceDE w:val="0"/>
        <w:autoSpaceDN w:val="0"/>
        <w:adjustRightInd w:val="0"/>
        <w:spacing w:after="0" w:line="240" w:lineRule="auto"/>
        <w:jc w:val="both"/>
        <w:rPr>
          <w:rFonts w:ascii="Times New Roman" w:hAnsi="Times New Roman" w:cs="Times New Roman"/>
          <w:color w:val="000000"/>
        </w:rPr>
      </w:pPr>
      <w:r w:rsidRPr="0083559B">
        <w:rPr>
          <w:rFonts w:ascii="Times New Roman" w:hAnsi="Times New Roman" w:cs="Times New Roman"/>
          <w:color w:val="000000"/>
        </w:rPr>
        <w:t>Godišnji izvještaj o izvršenju Proračuna Općine Tovarnik za 2020. godinu (u daljnjem tekstu: Proračun) sadrži:</w:t>
      </w:r>
    </w:p>
    <w:p w:rsidR="008C3C2C" w:rsidRPr="00DF5DF8" w:rsidRDefault="008C3C2C" w:rsidP="008C3C2C">
      <w:pPr>
        <w:pStyle w:val="Odlomakpopisa"/>
        <w:numPr>
          <w:ilvl w:val="0"/>
          <w:numId w:val="1"/>
        </w:numPr>
        <w:spacing w:after="0" w:line="240" w:lineRule="auto"/>
        <w:jc w:val="both"/>
        <w:rPr>
          <w:rFonts w:ascii="Times New Roman" w:hAnsi="Times New Roman"/>
          <w:kern w:val="0"/>
          <w:sz w:val="20"/>
          <w:szCs w:val="20"/>
        </w:rPr>
      </w:pPr>
      <w:r w:rsidRPr="00492EA9">
        <w:rPr>
          <w:rFonts w:ascii="Times New Roman" w:hAnsi="Times New Roman"/>
          <w:kern w:val="0"/>
          <w:sz w:val="20"/>
          <w:szCs w:val="20"/>
        </w:rPr>
        <w:t>RAČUN PRIHODA I RASHODA</w:t>
      </w:r>
      <w:r w:rsidRPr="00492EA9">
        <w:rPr>
          <w:rFonts w:ascii="Times New Roman" w:hAnsi="Times New Roman"/>
          <w:kern w:val="0"/>
          <w:sz w:val="20"/>
          <w:szCs w:val="20"/>
        </w:rPr>
        <w:tab/>
      </w:r>
      <w:r w:rsidRPr="00492EA9">
        <w:rPr>
          <w:rFonts w:ascii="Times New Roman" w:hAnsi="Times New Roman"/>
          <w:kern w:val="0"/>
          <w:sz w:val="20"/>
          <w:szCs w:val="20"/>
        </w:rPr>
        <w:tab/>
      </w:r>
      <w:r w:rsidRPr="00481BD7">
        <w:rPr>
          <w:rFonts w:ascii="Times New Roman" w:hAnsi="Times New Roman"/>
          <w:b/>
          <w:kern w:val="0"/>
          <w:sz w:val="20"/>
          <w:szCs w:val="20"/>
        </w:rPr>
        <w:t xml:space="preserve">  Izvršenje 2019.</w:t>
      </w:r>
      <w:r w:rsidRPr="00481BD7">
        <w:rPr>
          <w:rFonts w:ascii="Times New Roman" w:hAnsi="Times New Roman"/>
          <w:b/>
          <w:kern w:val="0"/>
          <w:sz w:val="20"/>
          <w:szCs w:val="20"/>
        </w:rPr>
        <w:tab/>
      </w:r>
      <w:r w:rsidRPr="00481BD7">
        <w:rPr>
          <w:rFonts w:ascii="Times New Roman" w:hAnsi="Times New Roman"/>
          <w:b/>
          <w:kern w:val="0"/>
          <w:sz w:val="20"/>
          <w:szCs w:val="20"/>
        </w:rPr>
        <w:tab/>
        <w:t>Plan 2020.</w:t>
      </w:r>
      <w:r w:rsidRPr="00481BD7">
        <w:rPr>
          <w:rFonts w:ascii="Times New Roman" w:hAnsi="Times New Roman"/>
          <w:b/>
          <w:kern w:val="0"/>
          <w:sz w:val="20"/>
          <w:szCs w:val="20"/>
        </w:rPr>
        <w:tab/>
        <w:t>Izvršenje 2020.</w:t>
      </w:r>
    </w:p>
    <w:tbl>
      <w:tblPr>
        <w:tblStyle w:val="Reetkatablice"/>
        <w:tblW w:w="9243" w:type="dxa"/>
        <w:tblInd w:w="108" w:type="dxa"/>
        <w:tblLook w:val="04A0" w:firstRow="1" w:lastRow="0" w:firstColumn="1" w:lastColumn="0" w:noHBand="0" w:noVBand="1"/>
      </w:tblPr>
      <w:tblGrid>
        <w:gridCol w:w="3998"/>
        <w:gridCol w:w="1748"/>
        <w:gridCol w:w="1748"/>
        <w:gridCol w:w="1749"/>
      </w:tblGrid>
      <w:tr w:rsidR="008C3C2C" w:rsidRPr="009113F3" w:rsidTr="00302AAF">
        <w:tc>
          <w:tcPr>
            <w:tcW w:w="3998" w:type="dxa"/>
          </w:tcPr>
          <w:p w:rsidR="008C3C2C" w:rsidRPr="009113F3" w:rsidRDefault="008C3C2C" w:rsidP="00302AAF">
            <w:pPr>
              <w:jc w:val="both"/>
              <w:rPr>
                <w:rFonts w:ascii="Times New Roman" w:hAnsi="Times New Roman" w:cs="Times New Roman"/>
                <w:sz w:val="20"/>
                <w:szCs w:val="20"/>
              </w:rPr>
            </w:pPr>
            <w:r w:rsidRPr="009113F3">
              <w:rPr>
                <w:rFonts w:ascii="Times New Roman" w:hAnsi="Times New Roman" w:cs="Times New Roman"/>
                <w:sz w:val="20"/>
                <w:szCs w:val="20"/>
              </w:rPr>
              <w:t>Prihodi poslovanja</w:t>
            </w:r>
          </w:p>
        </w:tc>
        <w:tc>
          <w:tcPr>
            <w:tcW w:w="1748" w:type="dxa"/>
          </w:tcPr>
          <w:p w:rsidR="008C3C2C" w:rsidRPr="000B7B17" w:rsidRDefault="008C3C2C" w:rsidP="00302AAF">
            <w:pPr>
              <w:jc w:val="right"/>
              <w:rPr>
                <w:rFonts w:ascii="Arial" w:hAnsi="Arial" w:cs="Arial"/>
                <w:sz w:val="20"/>
                <w:szCs w:val="20"/>
              </w:rPr>
            </w:pPr>
            <w:r w:rsidRPr="000B7B17">
              <w:rPr>
                <w:rFonts w:ascii="Times New Roman" w:hAnsi="Times New Roman" w:cs="Times New Roman"/>
                <w:color w:val="000000"/>
                <w:sz w:val="20"/>
                <w:szCs w:val="20"/>
              </w:rPr>
              <w:t>12.432.822,89 kn</w:t>
            </w:r>
          </w:p>
        </w:tc>
        <w:tc>
          <w:tcPr>
            <w:tcW w:w="1748" w:type="dxa"/>
          </w:tcPr>
          <w:p w:rsidR="008C3C2C" w:rsidRPr="000B7B17" w:rsidRDefault="008C3C2C" w:rsidP="00302AAF">
            <w:pPr>
              <w:tabs>
                <w:tab w:val="right" w:pos="1485"/>
              </w:tabs>
              <w:jc w:val="right"/>
              <w:rPr>
                <w:rFonts w:ascii="Arial" w:hAnsi="Arial" w:cs="Arial"/>
                <w:sz w:val="20"/>
                <w:szCs w:val="20"/>
              </w:rPr>
            </w:pPr>
            <w:r w:rsidRPr="000B7B17">
              <w:rPr>
                <w:rFonts w:ascii="Times New Roman" w:hAnsi="Times New Roman" w:cs="Times New Roman"/>
                <w:color w:val="000000"/>
                <w:sz w:val="20"/>
                <w:szCs w:val="20"/>
              </w:rPr>
              <w:t>14.107.129,98 kn</w:t>
            </w:r>
          </w:p>
        </w:tc>
        <w:tc>
          <w:tcPr>
            <w:tcW w:w="1749" w:type="dxa"/>
          </w:tcPr>
          <w:p w:rsidR="008C3C2C" w:rsidRPr="000B7B17" w:rsidRDefault="008C3C2C" w:rsidP="00302AAF">
            <w:pPr>
              <w:jc w:val="right"/>
              <w:rPr>
                <w:rFonts w:ascii="Tahoma" w:hAnsi="Tahoma" w:cs="Tahoma"/>
                <w:sz w:val="20"/>
                <w:szCs w:val="20"/>
              </w:rPr>
            </w:pPr>
            <w:r w:rsidRPr="000B7B17">
              <w:rPr>
                <w:rFonts w:ascii="Times New Roman" w:hAnsi="Times New Roman" w:cs="Times New Roman"/>
                <w:color w:val="000000"/>
                <w:sz w:val="20"/>
                <w:szCs w:val="20"/>
              </w:rPr>
              <w:t>14.662.232,00  kn</w:t>
            </w:r>
          </w:p>
        </w:tc>
      </w:tr>
      <w:tr w:rsidR="008C3C2C" w:rsidRPr="009113F3" w:rsidTr="00302AAF">
        <w:tc>
          <w:tcPr>
            <w:tcW w:w="3998" w:type="dxa"/>
          </w:tcPr>
          <w:p w:rsidR="008C3C2C" w:rsidRPr="009113F3" w:rsidRDefault="008C3C2C" w:rsidP="00302AAF">
            <w:pPr>
              <w:jc w:val="both"/>
              <w:rPr>
                <w:rFonts w:ascii="Times New Roman" w:hAnsi="Times New Roman" w:cs="Times New Roman"/>
                <w:sz w:val="20"/>
                <w:szCs w:val="20"/>
              </w:rPr>
            </w:pPr>
            <w:r w:rsidRPr="009113F3">
              <w:rPr>
                <w:rFonts w:ascii="Times New Roman" w:hAnsi="Times New Roman" w:cs="Times New Roman"/>
                <w:sz w:val="20"/>
                <w:szCs w:val="20"/>
              </w:rPr>
              <w:t>Prihodi od prodaje nefinancijske imovine</w:t>
            </w:r>
          </w:p>
        </w:tc>
        <w:tc>
          <w:tcPr>
            <w:tcW w:w="1748" w:type="dxa"/>
          </w:tcPr>
          <w:p w:rsidR="008C3C2C" w:rsidRPr="000B7B17" w:rsidRDefault="008C3C2C" w:rsidP="00302AAF">
            <w:pPr>
              <w:jc w:val="right"/>
              <w:rPr>
                <w:rFonts w:ascii="Times New Roman" w:hAnsi="Times New Roman" w:cs="Times New Roman"/>
                <w:color w:val="000000"/>
                <w:sz w:val="20"/>
                <w:szCs w:val="20"/>
              </w:rPr>
            </w:pPr>
            <w:r w:rsidRPr="003D1851">
              <w:rPr>
                <w:rFonts w:ascii="Times New Roman" w:hAnsi="Times New Roman" w:cs="Times New Roman"/>
                <w:sz w:val="20"/>
                <w:szCs w:val="20"/>
              </w:rPr>
              <w:t>0,00 kn</w:t>
            </w:r>
          </w:p>
        </w:tc>
        <w:tc>
          <w:tcPr>
            <w:tcW w:w="1748" w:type="dxa"/>
          </w:tcPr>
          <w:p w:rsidR="008C3C2C" w:rsidRPr="000B7B17" w:rsidRDefault="008C3C2C" w:rsidP="00302AAF">
            <w:pPr>
              <w:tabs>
                <w:tab w:val="right" w:pos="1485"/>
              </w:tabs>
              <w:jc w:val="right"/>
              <w:rPr>
                <w:rFonts w:ascii="Times New Roman" w:hAnsi="Times New Roman" w:cs="Times New Roman"/>
                <w:color w:val="000000"/>
                <w:sz w:val="20"/>
                <w:szCs w:val="20"/>
              </w:rPr>
            </w:pPr>
            <w:r w:rsidRPr="003D1851">
              <w:rPr>
                <w:rFonts w:ascii="Times New Roman" w:hAnsi="Times New Roman" w:cs="Times New Roman"/>
                <w:sz w:val="20"/>
                <w:szCs w:val="20"/>
              </w:rPr>
              <w:t>0,00 kn</w:t>
            </w:r>
          </w:p>
        </w:tc>
        <w:tc>
          <w:tcPr>
            <w:tcW w:w="1749" w:type="dxa"/>
          </w:tcPr>
          <w:p w:rsidR="008C3C2C" w:rsidRPr="000B7B17" w:rsidRDefault="008C3C2C" w:rsidP="00302AAF">
            <w:pPr>
              <w:jc w:val="right"/>
              <w:rPr>
                <w:rFonts w:ascii="Times New Roman" w:hAnsi="Times New Roman" w:cs="Times New Roman"/>
                <w:color w:val="000000"/>
                <w:sz w:val="20"/>
                <w:szCs w:val="20"/>
              </w:rPr>
            </w:pPr>
            <w:r w:rsidRPr="003D1851">
              <w:rPr>
                <w:rFonts w:ascii="Times New Roman" w:hAnsi="Times New Roman" w:cs="Times New Roman"/>
                <w:sz w:val="20"/>
                <w:szCs w:val="20"/>
              </w:rPr>
              <w:t>0,00 kn</w:t>
            </w:r>
          </w:p>
        </w:tc>
      </w:tr>
      <w:tr w:rsidR="008C3C2C" w:rsidRPr="009113F3" w:rsidTr="00302AAF">
        <w:tc>
          <w:tcPr>
            <w:tcW w:w="3998" w:type="dxa"/>
          </w:tcPr>
          <w:p w:rsidR="008C3C2C" w:rsidRPr="009113F3" w:rsidRDefault="008C3C2C" w:rsidP="00302AAF">
            <w:pPr>
              <w:jc w:val="both"/>
              <w:rPr>
                <w:rFonts w:ascii="Times New Roman" w:hAnsi="Times New Roman" w:cs="Times New Roman"/>
                <w:sz w:val="20"/>
                <w:szCs w:val="20"/>
              </w:rPr>
            </w:pPr>
          </w:p>
        </w:tc>
        <w:tc>
          <w:tcPr>
            <w:tcW w:w="1748" w:type="dxa"/>
          </w:tcPr>
          <w:p w:rsidR="008C3C2C" w:rsidRPr="003D1851" w:rsidRDefault="008C3C2C" w:rsidP="00302AAF">
            <w:pPr>
              <w:jc w:val="right"/>
              <w:rPr>
                <w:rFonts w:ascii="Times New Roman" w:hAnsi="Times New Roman" w:cs="Times New Roman"/>
                <w:sz w:val="20"/>
                <w:szCs w:val="20"/>
              </w:rPr>
            </w:pPr>
          </w:p>
        </w:tc>
        <w:tc>
          <w:tcPr>
            <w:tcW w:w="1748" w:type="dxa"/>
          </w:tcPr>
          <w:p w:rsidR="008C3C2C" w:rsidRPr="003D1851" w:rsidRDefault="008C3C2C" w:rsidP="00302AAF">
            <w:pPr>
              <w:tabs>
                <w:tab w:val="right" w:pos="1485"/>
              </w:tabs>
              <w:jc w:val="right"/>
              <w:rPr>
                <w:rFonts w:ascii="Times New Roman" w:hAnsi="Times New Roman" w:cs="Times New Roman"/>
                <w:sz w:val="20"/>
                <w:szCs w:val="20"/>
              </w:rPr>
            </w:pPr>
          </w:p>
        </w:tc>
        <w:tc>
          <w:tcPr>
            <w:tcW w:w="1749" w:type="dxa"/>
          </w:tcPr>
          <w:p w:rsidR="008C3C2C" w:rsidRPr="003D1851" w:rsidRDefault="008C3C2C" w:rsidP="00302AAF">
            <w:pPr>
              <w:jc w:val="right"/>
              <w:rPr>
                <w:rFonts w:ascii="Times New Roman" w:hAnsi="Times New Roman" w:cs="Times New Roman"/>
                <w:sz w:val="20"/>
                <w:szCs w:val="20"/>
              </w:rPr>
            </w:pPr>
          </w:p>
        </w:tc>
      </w:tr>
      <w:tr w:rsidR="008C3C2C" w:rsidRPr="009113F3" w:rsidTr="00302AAF">
        <w:tc>
          <w:tcPr>
            <w:tcW w:w="3998" w:type="dxa"/>
          </w:tcPr>
          <w:p w:rsidR="008C3C2C" w:rsidRPr="009113F3" w:rsidRDefault="008C3C2C" w:rsidP="00302AAF">
            <w:pPr>
              <w:jc w:val="right"/>
              <w:rPr>
                <w:rFonts w:ascii="Times New Roman" w:hAnsi="Times New Roman" w:cs="Times New Roman"/>
                <w:sz w:val="20"/>
                <w:szCs w:val="20"/>
              </w:rPr>
            </w:pPr>
            <w:r>
              <w:rPr>
                <w:rFonts w:ascii="Times New Roman" w:hAnsi="Times New Roman" w:cs="Times New Roman"/>
                <w:sz w:val="20"/>
                <w:szCs w:val="20"/>
              </w:rPr>
              <w:t>UKUPNO PRIHODA:</w:t>
            </w:r>
          </w:p>
        </w:tc>
        <w:tc>
          <w:tcPr>
            <w:tcW w:w="1748" w:type="dxa"/>
          </w:tcPr>
          <w:p w:rsidR="008C3C2C" w:rsidRPr="003D1851" w:rsidRDefault="008C3C2C" w:rsidP="00302AAF">
            <w:pPr>
              <w:jc w:val="right"/>
              <w:rPr>
                <w:rFonts w:ascii="Times New Roman" w:hAnsi="Times New Roman" w:cs="Times New Roman"/>
                <w:sz w:val="20"/>
                <w:szCs w:val="20"/>
              </w:rPr>
            </w:pPr>
            <w:r w:rsidRPr="000B7B17">
              <w:rPr>
                <w:rFonts w:ascii="Times New Roman" w:hAnsi="Times New Roman" w:cs="Times New Roman"/>
                <w:color w:val="000000"/>
                <w:sz w:val="20"/>
                <w:szCs w:val="20"/>
              </w:rPr>
              <w:t>12.432.822,89 kn</w:t>
            </w:r>
          </w:p>
        </w:tc>
        <w:tc>
          <w:tcPr>
            <w:tcW w:w="1748" w:type="dxa"/>
          </w:tcPr>
          <w:p w:rsidR="008C3C2C" w:rsidRPr="003D1851" w:rsidRDefault="008C3C2C" w:rsidP="00302AAF">
            <w:pPr>
              <w:tabs>
                <w:tab w:val="right" w:pos="1485"/>
              </w:tabs>
              <w:jc w:val="right"/>
              <w:rPr>
                <w:rFonts w:ascii="Times New Roman" w:hAnsi="Times New Roman" w:cs="Times New Roman"/>
                <w:sz w:val="20"/>
                <w:szCs w:val="20"/>
              </w:rPr>
            </w:pPr>
            <w:r w:rsidRPr="000B7B17">
              <w:rPr>
                <w:rFonts w:ascii="Times New Roman" w:hAnsi="Times New Roman" w:cs="Times New Roman"/>
                <w:color w:val="000000"/>
                <w:sz w:val="20"/>
                <w:szCs w:val="20"/>
              </w:rPr>
              <w:t>14.107.129,98 kn</w:t>
            </w:r>
          </w:p>
        </w:tc>
        <w:tc>
          <w:tcPr>
            <w:tcW w:w="1749" w:type="dxa"/>
          </w:tcPr>
          <w:p w:rsidR="008C3C2C" w:rsidRPr="003D1851" w:rsidRDefault="008C3C2C" w:rsidP="00302AAF">
            <w:pPr>
              <w:jc w:val="right"/>
              <w:rPr>
                <w:rFonts w:ascii="Times New Roman" w:hAnsi="Times New Roman" w:cs="Times New Roman"/>
                <w:sz w:val="20"/>
                <w:szCs w:val="20"/>
              </w:rPr>
            </w:pPr>
            <w:r w:rsidRPr="000B7B17">
              <w:rPr>
                <w:rFonts w:ascii="Times New Roman" w:hAnsi="Times New Roman" w:cs="Times New Roman"/>
                <w:color w:val="000000"/>
                <w:sz w:val="20"/>
                <w:szCs w:val="20"/>
              </w:rPr>
              <w:t>14.662.232,00  kn</w:t>
            </w:r>
          </w:p>
        </w:tc>
      </w:tr>
      <w:tr w:rsidR="008C3C2C" w:rsidRPr="009113F3" w:rsidTr="00302AAF">
        <w:tc>
          <w:tcPr>
            <w:tcW w:w="3998" w:type="dxa"/>
          </w:tcPr>
          <w:p w:rsidR="008C3C2C" w:rsidRPr="009113F3" w:rsidRDefault="008C3C2C" w:rsidP="00302AAF">
            <w:pPr>
              <w:rPr>
                <w:rFonts w:ascii="Times New Roman" w:hAnsi="Times New Roman" w:cs="Times New Roman"/>
                <w:sz w:val="20"/>
                <w:szCs w:val="20"/>
              </w:rPr>
            </w:pPr>
            <w:r>
              <w:rPr>
                <w:rFonts w:ascii="Times New Roman" w:hAnsi="Times New Roman" w:cs="Times New Roman"/>
                <w:sz w:val="20"/>
                <w:szCs w:val="20"/>
              </w:rPr>
              <w:t>Rashodi poslovanja</w:t>
            </w:r>
          </w:p>
        </w:tc>
        <w:tc>
          <w:tcPr>
            <w:tcW w:w="1748" w:type="dxa"/>
          </w:tcPr>
          <w:p w:rsidR="008C3C2C" w:rsidRPr="000B7B17" w:rsidRDefault="008C3C2C" w:rsidP="00302AAF">
            <w:pPr>
              <w:jc w:val="right"/>
              <w:rPr>
                <w:rFonts w:ascii="Arial" w:hAnsi="Arial" w:cs="Arial"/>
                <w:sz w:val="20"/>
                <w:szCs w:val="20"/>
              </w:rPr>
            </w:pPr>
            <w:r w:rsidRPr="000B7B17">
              <w:rPr>
                <w:rFonts w:ascii="Times New Roman" w:hAnsi="Times New Roman" w:cs="Times New Roman"/>
                <w:color w:val="000000"/>
                <w:sz w:val="20"/>
                <w:szCs w:val="20"/>
              </w:rPr>
              <w:t>9.709.893,45kn</w:t>
            </w:r>
          </w:p>
        </w:tc>
        <w:tc>
          <w:tcPr>
            <w:tcW w:w="1748" w:type="dxa"/>
          </w:tcPr>
          <w:p w:rsidR="008C3C2C" w:rsidRPr="000B7B17" w:rsidRDefault="008C3C2C" w:rsidP="00302AAF">
            <w:pPr>
              <w:jc w:val="right"/>
              <w:rPr>
                <w:rFonts w:ascii="Arial" w:hAnsi="Arial" w:cs="Arial"/>
                <w:sz w:val="20"/>
                <w:szCs w:val="20"/>
              </w:rPr>
            </w:pPr>
            <w:r w:rsidRPr="000B7B17">
              <w:rPr>
                <w:rFonts w:ascii="Times New Roman" w:hAnsi="Times New Roman" w:cs="Times New Roman"/>
                <w:color w:val="000000"/>
                <w:sz w:val="20"/>
                <w:szCs w:val="20"/>
              </w:rPr>
              <w:t>8.353.351,00kn</w:t>
            </w:r>
          </w:p>
        </w:tc>
        <w:tc>
          <w:tcPr>
            <w:tcW w:w="1749" w:type="dxa"/>
          </w:tcPr>
          <w:p w:rsidR="008C3C2C" w:rsidRPr="000B7B17" w:rsidRDefault="008C3C2C" w:rsidP="00302AAF">
            <w:pPr>
              <w:jc w:val="right"/>
              <w:rPr>
                <w:sz w:val="20"/>
                <w:szCs w:val="20"/>
              </w:rPr>
            </w:pPr>
            <w:r w:rsidRPr="000B7B17">
              <w:rPr>
                <w:rFonts w:ascii="Times New Roman" w:hAnsi="Times New Roman" w:cs="Times New Roman"/>
                <w:color w:val="000000"/>
                <w:sz w:val="20"/>
                <w:szCs w:val="20"/>
              </w:rPr>
              <w:t>8.792.059,00kn</w:t>
            </w:r>
          </w:p>
        </w:tc>
      </w:tr>
      <w:tr w:rsidR="008C3C2C" w:rsidRPr="009113F3" w:rsidTr="00302AAF">
        <w:tc>
          <w:tcPr>
            <w:tcW w:w="3998" w:type="dxa"/>
          </w:tcPr>
          <w:p w:rsidR="008C3C2C" w:rsidRPr="009113F3" w:rsidRDefault="008C3C2C" w:rsidP="00302AAF">
            <w:pPr>
              <w:rPr>
                <w:rFonts w:ascii="Times New Roman" w:hAnsi="Times New Roman" w:cs="Times New Roman"/>
                <w:sz w:val="20"/>
                <w:szCs w:val="20"/>
              </w:rPr>
            </w:pPr>
            <w:r w:rsidRPr="009113F3">
              <w:rPr>
                <w:rFonts w:ascii="Times New Roman" w:hAnsi="Times New Roman" w:cs="Times New Roman"/>
                <w:sz w:val="20"/>
                <w:szCs w:val="20"/>
              </w:rPr>
              <w:t>Rashodi za nabavu nefinancijske imovine</w:t>
            </w:r>
          </w:p>
        </w:tc>
        <w:tc>
          <w:tcPr>
            <w:tcW w:w="1748" w:type="dxa"/>
          </w:tcPr>
          <w:p w:rsidR="008C3C2C" w:rsidRPr="000B7B17" w:rsidRDefault="008C3C2C" w:rsidP="00302AAF">
            <w:pPr>
              <w:jc w:val="right"/>
              <w:rPr>
                <w:rFonts w:ascii="Arial" w:hAnsi="Arial" w:cs="Arial"/>
                <w:sz w:val="20"/>
                <w:szCs w:val="20"/>
              </w:rPr>
            </w:pPr>
            <w:r w:rsidRPr="000B7B17">
              <w:rPr>
                <w:rFonts w:ascii="Times New Roman" w:hAnsi="Times New Roman" w:cs="Times New Roman"/>
                <w:color w:val="000000"/>
                <w:sz w:val="20"/>
                <w:szCs w:val="20"/>
              </w:rPr>
              <w:t>3.658.331,99kn</w:t>
            </w:r>
          </w:p>
        </w:tc>
        <w:tc>
          <w:tcPr>
            <w:tcW w:w="1748" w:type="dxa"/>
          </w:tcPr>
          <w:p w:rsidR="008C3C2C" w:rsidRPr="000B7B17" w:rsidRDefault="008C3C2C" w:rsidP="00302AAF">
            <w:pPr>
              <w:jc w:val="right"/>
              <w:rPr>
                <w:rFonts w:ascii="Arial" w:hAnsi="Arial" w:cs="Arial"/>
                <w:sz w:val="20"/>
                <w:szCs w:val="20"/>
              </w:rPr>
            </w:pPr>
            <w:r w:rsidRPr="000B7B17">
              <w:rPr>
                <w:rFonts w:ascii="Times New Roman" w:hAnsi="Times New Roman" w:cs="Times New Roman"/>
                <w:color w:val="000000"/>
                <w:sz w:val="20"/>
                <w:szCs w:val="20"/>
              </w:rPr>
              <w:t xml:space="preserve">     6.835.908,51kn</w:t>
            </w:r>
          </w:p>
        </w:tc>
        <w:tc>
          <w:tcPr>
            <w:tcW w:w="1749" w:type="dxa"/>
          </w:tcPr>
          <w:p w:rsidR="008C3C2C" w:rsidRPr="000B7B17" w:rsidRDefault="008C3C2C" w:rsidP="00302AAF">
            <w:pPr>
              <w:jc w:val="right"/>
              <w:rPr>
                <w:sz w:val="20"/>
                <w:szCs w:val="20"/>
              </w:rPr>
            </w:pPr>
            <w:r w:rsidRPr="000B7B17">
              <w:rPr>
                <w:rFonts w:ascii="Times New Roman" w:hAnsi="Times New Roman" w:cs="Times New Roman"/>
                <w:color w:val="000000"/>
                <w:sz w:val="20"/>
                <w:szCs w:val="20"/>
              </w:rPr>
              <w:t>6.605.793,00kn</w:t>
            </w:r>
          </w:p>
        </w:tc>
      </w:tr>
      <w:tr w:rsidR="008C3C2C" w:rsidRPr="009113F3" w:rsidTr="00302AAF">
        <w:tc>
          <w:tcPr>
            <w:tcW w:w="3998" w:type="dxa"/>
          </w:tcPr>
          <w:p w:rsidR="008C3C2C" w:rsidRPr="009113F3" w:rsidRDefault="008C3C2C" w:rsidP="00302AAF">
            <w:pPr>
              <w:rPr>
                <w:rFonts w:ascii="Times New Roman" w:hAnsi="Times New Roman" w:cs="Times New Roman"/>
                <w:sz w:val="20"/>
                <w:szCs w:val="20"/>
              </w:rPr>
            </w:pPr>
          </w:p>
        </w:tc>
        <w:tc>
          <w:tcPr>
            <w:tcW w:w="1748" w:type="dxa"/>
          </w:tcPr>
          <w:p w:rsidR="008C3C2C" w:rsidRPr="000B7B17" w:rsidRDefault="008C3C2C" w:rsidP="00302AAF">
            <w:pPr>
              <w:jc w:val="right"/>
              <w:rPr>
                <w:rFonts w:ascii="Times New Roman" w:hAnsi="Times New Roman" w:cs="Times New Roman"/>
                <w:color w:val="000000"/>
                <w:sz w:val="20"/>
                <w:szCs w:val="20"/>
              </w:rPr>
            </w:pPr>
          </w:p>
        </w:tc>
        <w:tc>
          <w:tcPr>
            <w:tcW w:w="1748" w:type="dxa"/>
          </w:tcPr>
          <w:p w:rsidR="008C3C2C" w:rsidRPr="000B7B17" w:rsidRDefault="008C3C2C" w:rsidP="00302AAF">
            <w:pPr>
              <w:jc w:val="right"/>
              <w:rPr>
                <w:rFonts w:ascii="Times New Roman" w:hAnsi="Times New Roman" w:cs="Times New Roman"/>
                <w:color w:val="000000"/>
                <w:sz w:val="20"/>
                <w:szCs w:val="20"/>
              </w:rPr>
            </w:pPr>
          </w:p>
        </w:tc>
        <w:tc>
          <w:tcPr>
            <w:tcW w:w="1749" w:type="dxa"/>
          </w:tcPr>
          <w:p w:rsidR="008C3C2C" w:rsidRPr="000B7B17" w:rsidRDefault="008C3C2C" w:rsidP="00302AAF">
            <w:pPr>
              <w:jc w:val="right"/>
              <w:rPr>
                <w:rFonts w:ascii="Times New Roman" w:hAnsi="Times New Roman" w:cs="Times New Roman"/>
                <w:color w:val="000000"/>
                <w:sz w:val="20"/>
                <w:szCs w:val="20"/>
              </w:rPr>
            </w:pPr>
          </w:p>
        </w:tc>
      </w:tr>
      <w:tr w:rsidR="008C3C2C" w:rsidRPr="009113F3" w:rsidTr="00302AAF">
        <w:tc>
          <w:tcPr>
            <w:tcW w:w="3998" w:type="dxa"/>
          </w:tcPr>
          <w:p w:rsidR="008C3C2C" w:rsidRPr="009113F3" w:rsidRDefault="008C3C2C" w:rsidP="00302AAF">
            <w:pPr>
              <w:jc w:val="right"/>
              <w:rPr>
                <w:rFonts w:ascii="Times New Roman" w:hAnsi="Times New Roman" w:cs="Times New Roman"/>
                <w:sz w:val="20"/>
                <w:szCs w:val="20"/>
              </w:rPr>
            </w:pPr>
            <w:r>
              <w:rPr>
                <w:rFonts w:ascii="Times New Roman" w:hAnsi="Times New Roman" w:cs="Times New Roman"/>
                <w:sz w:val="20"/>
                <w:szCs w:val="20"/>
              </w:rPr>
              <w:t>UKUPNO RASHODA:</w:t>
            </w:r>
          </w:p>
        </w:tc>
        <w:tc>
          <w:tcPr>
            <w:tcW w:w="1748" w:type="dxa"/>
          </w:tcPr>
          <w:p w:rsidR="008C3C2C" w:rsidRPr="000B7B17" w:rsidRDefault="008C3C2C" w:rsidP="00302AAF">
            <w:pPr>
              <w:jc w:val="right"/>
              <w:rPr>
                <w:rFonts w:ascii="Times New Roman" w:hAnsi="Times New Roman" w:cs="Times New Roman"/>
                <w:color w:val="000000"/>
                <w:sz w:val="20"/>
                <w:szCs w:val="20"/>
              </w:rPr>
            </w:pPr>
            <w:r>
              <w:rPr>
                <w:rFonts w:ascii="Times New Roman" w:hAnsi="Times New Roman" w:cs="Times New Roman"/>
                <w:color w:val="000000"/>
                <w:sz w:val="20"/>
                <w:szCs w:val="20"/>
              </w:rPr>
              <w:t>13.368.229,00 kn</w:t>
            </w:r>
          </w:p>
        </w:tc>
        <w:tc>
          <w:tcPr>
            <w:tcW w:w="1748" w:type="dxa"/>
          </w:tcPr>
          <w:p w:rsidR="008C3C2C" w:rsidRPr="000B7B17" w:rsidRDefault="008C3C2C" w:rsidP="00302AAF">
            <w:pPr>
              <w:jc w:val="right"/>
              <w:rPr>
                <w:rFonts w:ascii="Times New Roman" w:hAnsi="Times New Roman" w:cs="Times New Roman"/>
                <w:color w:val="000000"/>
                <w:sz w:val="20"/>
                <w:szCs w:val="20"/>
              </w:rPr>
            </w:pPr>
            <w:r>
              <w:rPr>
                <w:rFonts w:ascii="Times New Roman" w:hAnsi="Times New Roman" w:cs="Times New Roman"/>
                <w:color w:val="000000"/>
                <w:sz w:val="20"/>
                <w:szCs w:val="20"/>
              </w:rPr>
              <w:t>15.189.259,51 kn</w:t>
            </w:r>
          </w:p>
        </w:tc>
        <w:tc>
          <w:tcPr>
            <w:tcW w:w="1749" w:type="dxa"/>
          </w:tcPr>
          <w:p w:rsidR="008C3C2C" w:rsidRPr="000B7B17" w:rsidRDefault="008C3C2C" w:rsidP="00302AAF">
            <w:pPr>
              <w:jc w:val="right"/>
              <w:rPr>
                <w:rFonts w:ascii="Times New Roman" w:hAnsi="Times New Roman" w:cs="Times New Roman"/>
                <w:color w:val="000000"/>
                <w:sz w:val="20"/>
                <w:szCs w:val="20"/>
              </w:rPr>
            </w:pPr>
            <w:r>
              <w:rPr>
                <w:rFonts w:ascii="Times New Roman" w:hAnsi="Times New Roman" w:cs="Times New Roman"/>
                <w:color w:val="000000"/>
                <w:sz w:val="20"/>
                <w:szCs w:val="20"/>
              </w:rPr>
              <w:t>15.397.852,00 kn</w:t>
            </w:r>
          </w:p>
        </w:tc>
      </w:tr>
      <w:tr w:rsidR="008C3C2C" w:rsidRPr="009113F3" w:rsidTr="00302AAF">
        <w:tc>
          <w:tcPr>
            <w:tcW w:w="3998" w:type="dxa"/>
          </w:tcPr>
          <w:p w:rsidR="008C3C2C" w:rsidRDefault="008C3C2C" w:rsidP="00302AAF">
            <w:pPr>
              <w:jc w:val="right"/>
              <w:rPr>
                <w:rFonts w:ascii="Times New Roman" w:hAnsi="Times New Roman" w:cs="Times New Roman"/>
                <w:sz w:val="20"/>
                <w:szCs w:val="20"/>
              </w:rPr>
            </w:pPr>
          </w:p>
        </w:tc>
        <w:tc>
          <w:tcPr>
            <w:tcW w:w="1748" w:type="dxa"/>
          </w:tcPr>
          <w:p w:rsidR="008C3C2C" w:rsidRDefault="008C3C2C" w:rsidP="00302AAF">
            <w:pPr>
              <w:jc w:val="right"/>
              <w:rPr>
                <w:rFonts w:ascii="Times New Roman" w:hAnsi="Times New Roman" w:cs="Times New Roman"/>
                <w:color w:val="000000"/>
                <w:sz w:val="20"/>
                <w:szCs w:val="20"/>
              </w:rPr>
            </w:pPr>
          </w:p>
        </w:tc>
        <w:tc>
          <w:tcPr>
            <w:tcW w:w="1748" w:type="dxa"/>
          </w:tcPr>
          <w:p w:rsidR="008C3C2C" w:rsidRDefault="008C3C2C" w:rsidP="00302AAF">
            <w:pPr>
              <w:jc w:val="right"/>
              <w:rPr>
                <w:rFonts w:ascii="Times New Roman" w:hAnsi="Times New Roman" w:cs="Times New Roman"/>
                <w:color w:val="000000"/>
                <w:sz w:val="20"/>
                <w:szCs w:val="20"/>
              </w:rPr>
            </w:pPr>
          </w:p>
        </w:tc>
        <w:tc>
          <w:tcPr>
            <w:tcW w:w="1749" w:type="dxa"/>
          </w:tcPr>
          <w:p w:rsidR="008C3C2C" w:rsidRDefault="008C3C2C" w:rsidP="00302AAF">
            <w:pPr>
              <w:jc w:val="right"/>
              <w:rPr>
                <w:rFonts w:ascii="Times New Roman" w:hAnsi="Times New Roman" w:cs="Times New Roman"/>
                <w:color w:val="000000"/>
                <w:sz w:val="20"/>
                <w:szCs w:val="20"/>
              </w:rPr>
            </w:pPr>
          </w:p>
        </w:tc>
      </w:tr>
      <w:tr w:rsidR="008C3C2C" w:rsidRPr="00362DE9" w:rsidTr="00302AAF">
        <w:tc>
          <w:tcPr>
            <w:tcW w:w="3998" w:type="dxa"/>
          </w:tcPr>
          <w:p w:rsidR="008C3C2C" w:rsidRPr="00362DE9" w:rsidRDefault="008C3C2C" w:rsidP="00302AAF">
            <w:pPr>
              <w:jc w:val="right"/>
              <w:rPr>
                <w:rFonts w:ascii="Times New Roman" w:hAnsi="Times New Roman" w:cs="Times New Roman"/>
                <w:b/>
                <w:sz w:val="20"/>
                <w:szCs w:val="20"/>
              </w:rPr>
            </w:pPr>
            <w:r w:rsidRPr="00362DE9">
              <w:rPr>
                <w:rFonts w:ascii="Times New Roman" w:hAnsi="Times New Roman" w:cs="Times New Roman"/>
                <w:b/>
                <w:sz w:val="20"/>
                <w:szCs w:val="20"/>
              </w:rPr>
              <w:t>RAZLIKA VIŠAK/MANJAK:</w:t>
            </w:r>
          </w:p>
        </w:tc>
        <w:tc>
          <w:tcPr>
            <w:tcW w:w="1748" w:type="dxa"/>
          </w:tcPr>
          <w:p w:rsidR="008C3C2C" w:rsidRPr="00362DE9" w:rsidRDefault="008C3C2C" w:rsidP="00302AAF">
            <w:pPr>
              <w:jc w:val="right"/>
              <w:rPr>
                <w:rFonts w:ascii="Times New Roman" w:hAnsi="Times New Roman" w:cs="Times New Roman"/>
                <w:b/>
                <w:color w:val="000000"/>
                <w:sz w:val="20"/>
                <w:szCs w:val="20"/>
              </w:rPr>
            </w:pPr>
            <w:r w:rsidRPr="00362DE9">
              <w:rPr>
                <w:rFonts w:ascii="Times New Roman" w:hAnsi="Times New Roman" w:cs="Times New Roman"/>
                <w:b/>
                <w:color w:val="000000"/>
                <w:sz w:val="20"/>
                <w:szCs w:val="20"/>
              </w:rPr>
              <w:t>-935.406.55 kn</w:t>
            </w:r>
          </w:p>
        </w:tc>
        <w:tc>
          <w:tcPr>
            <w:tcW w:w="1748" w:type="dxa"/>
          </w:tcPr>
          <w:p w:rsidR="008C3C2C" w:rsidRPr="00362DE9" w:rsidRDefault="008C3C2C" w:rsidP="00302AAF">
            <w:pPr>
              <w:jc w:val="right"/>
              <w:rPr>
                <w:rFonts w:ascii="Times New Roman" w:hAnsi="Times New Roman" w:cs="Times New Roman"/>
                <w:b/>
                <w:color w:val="000000"/>
                <w:sz w:val="20"/>
                <w:szCs w:val="20"/>
              </w:rPr>
            </w:pPr>
            <w:r w:rsidRPr="00362DE9">
              <w:rPr>
                <w:rFonts w:ascii="Times New Roman" w:hAnsi="Times New Roman" w:cs="Times New Roman"/>
                <w:b/>
                <w:color w:val="000000"/>
                <w:sz w:val="20"/>
                <w:szCs w:val="20"/>
              </w:rPr>
              <w:t>-1.082.129,53 kn</w:t>
            </w:r>
          </w:p>
        </w:tc>
        <w:tc>
          <w:tcPr>
            <w:tcW w:w="1749" w:type="dxa"/>
          </w:tcPr>
          <w:p w:rsidR="008C3C2C" w:rsidRPr="00362DE9" w:rsidRDefault="008C3C2C" w:rsidP="00302AAF">
            <w:pPr>
              <w:jc w:val="right"/>
              <w:rPr>
                <w:rFonts w:ascii="Times New Roman" w:hAnsi="Times New Roman" w:cs="Times New Roman"/>
                <w:b/>
                <w:color w:val="000000"/>
                <w:sz w:val="20"/>
                <w:szCs w:val="20"/>
              </w:rPr>
            </w:pPr>
            <w:r w:rsidRPr="00362DE9">
              <w:rPr>
                <w:rFonts w:ascii="Times New Roman" w:hAnsi="Times New Roman" w:cs="Times New Roman"/>
                <w:b/>
                <w:color w:val="000000"/>
                <w:sz w:val="20"/>
                <w:szCs w:val="20"/>
              </w:rPr>
              <w:t>-735.620,00 kn</w:t>
            </w:r>
          </w:p>
        </w:tc>
      </w:tr>
    </w:tbl>
    <w:p w:rsidR="008C3C2C" w:rsidRPr="00B95B26" w:rsidRDefault="008C3C2C" w:rsidP="008C3C2C">
      <w:pPr>
        <w:spacing w:after="0" w:line="240" w:lineRule="auto"/>
        <w:ind w:left="360"/>
        <w:jc w:val="both"/>
        <w:rPr>
          <w:rFonts w:ascii="Times New Roman" w:hAnsi="Times New Roman" w:cs="Times New Roman"/>
          <w:sz w:val="20"/>
          <w:szCs w:val="20"/>
        </w:rPr>
      </w:pPr>
    </w:p>
    <w:p w:rsidR="008C3C2C" w:rsidRPr="00DF5DF8" w:rsidRDefault="008C3C2C" w:rsidP="008C3C2C">
      <w:pPr>
        <w:pStyle w:val="Odlomakpopisa"/>
        <w:numPr>
          <w:ilvl w:val="0"/>
          <w:numId w:val="1"/>
        </w:numPr>
        <w:spacing w:after="0" w:line="240" w:lineRule="auto"/>
        <w:jc w:val="both"/>
        <w:rPr>
          <w:rFonts w:ascii="Times New Roman" w:hAnsi="Times New Roman"/>
          <w:kern w:val="0"/>
          <w:sz w:val="20"/>
          <w:szCs w:val="20"/>
        </w:rPr>
      </w:pPr>
      <w:r w:rsidRPr="00B95B26">
        <w:rPr>
          <w:rFonts w:ascii="Times New Roman" w:hAnsi="Times New Roman"/>
          <w:kern w:val="0"/>
          <w:sz w:val="20"/>
          <w:szCs w:val="20"/>
        </w:rPr>
        <w:t>RASPOLOŽIVA SREDSTVA IZ PREDHODNIH GODINA</w:t>
      </w:r>
    </w:p>
    <w:tbl>
      <w:tblPr>
        <w:tblStyle w:val="Reetkatablice"/>
        <w:tblW w:w="9243" w:type="dxa"/>
        <w:tblInd w:w="108" w:type="dxa"/>
        <w:tblLook w:val="04A0" w:firstRow="1" w:lastRow="0" w:firstColumn="1" w:lastColumn="0" w:noHBand="0" w:noVBand="1"/>
      </w:tblPr>
      <w:tblGrid>
        <w:gridCol w:w="4282"/>
        <w:gridCol w:w="1653"/>
        <w:gridCol w:w="1654"/>
        <w:gridCol w:w="1654"/>
      </w:tblGrid>
      <w:tr w:rsidR="008C3C2C" w:rsidRPr="00B95B26" w:rsidTr="00302AAF">
        <w:trPr>
          <w:trHeight w:val="251"/>
        </w:trPr>
        <w:tc>
          <w:tcPr>
            <w:tcW w:w="4282" w:type="dxa"/>
          </w:tcPr>
          <w:p w:rsidR="008C3C2C" w:rsidRPr="00182CFA" w:rsidRDefault="008C3C2C" w:rsidP="00302AAF">
            <w:pPr>
              <w:pStyle w:val="Odlomakpopisa"/>
              <w:ind w:left="0"/>
              <w:rPr>
                <w:rFonts w:ascii="Times New Roman" w:hAnsi="Times New Roman"/>
                <w:kern w:val="0"/>
                <w:sz w:val="20"/>
                <w:szCs w:val="20"/>
              </w:rPr>
            </w:pPr>
            <w:r w:rsidRPr="00182CFA">
              <w:rPr>
                <w:rFonts w:ascii="Times New Roman" w:hAnsi="Times New Roman"/>
                <w:kern w:val="0"/>
                <w:sz w:val="20"/>
                <w:szCs w:val="20"/>
              </w:rPr>
              <w:t>Ukupan donos viška/manjka iz predhodnih godina</w:t>
            </w:r>
          </w:p>
        </w:tc>
        <w:tc>
          <w:tcPr>
            <w:tcW w:w="1653" w:type="dxa"/>
          </w:tcPr>
          <w:p w:rsidR="008C3C2C" w:rsidRPr="003E15CB" w:rsidRDefault="008C3C2C" w:rsidP="00302AAF">
            <w:pPr>
              <w:pStyle w:val="Odlomakpopisa"/>
              <w:ind w:left="0"/>
              <w:jc w:val="right"/>
              <w:rPr>
                <w:rFonts w:ascii="Times New Roman" w:hAnsi="Times New Roman"/>
                <w:kern w:val="0"/>
                <w:sz w:val="20"/>
                <w:szCs w:val="20"/>
              </w:rPr>
            </w:pPr>
            <w:r w:rsidRPr="003E15CB">
              <w:rPr>
                <w:rFonts w:ascii="Times New Roman" w:hAnsi="Times New Roman"/>
                <w:kern w:val="0"/>
                <w:sz w:val="20"/>
                <w:szCs w:val="20"/>
              </w:rPr>
              <w:t xml:space="preserve"> 1.535.075,00</w:t>
            </w:r>
          </w:p>
        </w:tc>
        <w:tc>
          <w:tcPr>
            <w:tcW w:w="1654" w:type="dxa"/>
          </w:tcPr>
          <w:p w:rsidR="008C3C2C" w:rsidRPr="003E15CB" w:rsidRDefault="008C3C2C" w:rsidP="00302AAF">
            <w:pPr>
              <w:pStyle w:val="Odlomakpopisa"/>
              <w:ind w:left="0"/>
              <w:jc w:val="right"/>
              <w:rPr>
                <w:rFonts w:ascii="Times New Roman" w:hAnsi="Times New Roman"/>
                <w:kern w:val="0"/>
                <w:sz w:val="20"/>
                <w:szCs w:val="20"/>
              </w:rPr>
            </w:pPr>
            <w:r w:rsidRPr="003E15CB">
              <w:rPr>
                <w:rFonts w:ascii="Times New Roman" w:hAnsi="Times New Roman"/>
                <w:color w:val="000000"/>
                <w:sz w:val="20"/>
                <w:szCs w:val="20"/>
              </w:rPr>
              <w:t xml:space="preserve"> 589.656,00</w:t>
            </w:r>
          </w:p>
        </w:tc>
        <w:tc>
          <w:tcPr>
            <w:tcW w:w="1654" w:type="dxa"/>
          </w:tcPr>
          <w:p w:rsidR="008C3C2C" w:rsidRPr="003E15CB" w:rsidRDefault="008C3C2C" w:rsidP="00302AAF">
            <w:pPr>
              <w:pStyle w:val="Odlomakpopisa"/>
              <w:ind w:left="0"/>
              <w:jc w:val="right"/>
              <w:rPr>
                <w:rFonts w:ascii="Times New Roman" w:hAnsi="Times New Roman"/>
                <w:bCs/>
                <w:kern w:val="0"/>
                <w:sz w:val="20"/>
                <w:szCs w:val="20"/>
              </w:rPr>
            </w:pPr>
            <w:r>
              <w:rPr>
                <w:rFonts w:ascii="Times New Roman" w:hAnsi="Times New Roman"/>
                <w:bCs/>
                <w:kern w:val="0"/>
                <w:sz w:val="20"/>
                <w:szCs w:val="20"/>
              </w:rPr>
              <w:t>-145.964,00</w:t>
            </w:r>
          </w:p>
        </w:tc>
      </w:tr>
      <w:tr w:rsidR="008C3C2C" w:rsidRPr="00B95B26" w:rsidTr="00302AAF">
        <w:tc>
          <w:tcPr>
            <w:tcW w:w="4282" w:type="dxa"/>
          </w:tcPr>
          <w:p w:rsidR="008C3C2C" w:rsidRPr="00182CFA" w:rsidRDefault="008C3C2C" w:rsidP="00302AAF">
            <w:pPr>
              <w:pStyle w:val="Odlomakpopisa"/>
              <w:ind w:left="0"/>
              <w:rPr>
                <w:rFonts w:ascii="Times New Roman" w:hAnsi="Times New Roman"/>
                <w:kern w:val="0"/>
                <w:sz w:val="20"/>
                <w:szCs w:val="20"/>
              </w:rPr>
            </w:pPr>
            <w:r w:rsidRPr="00182CFA">
              <w:rPr>
                <w:rFonts w:ascii="Times New Roman" w:hAnsi="Times New Roman"/>
                <w:kern w:val="0"/>
                <w:sz w:val="20"/>
                <w:szCs w:val="20"/>
              </w:rPr>
              <w:t>Dio koji će se rasporediti/pokriti u razdoblju</w:t>
            </w:r>
          </w:p>
        </w:tc>
        <w:tc>
          <w:tcPr>
            <w:tcW w:w="1653" w:type="dxa"/>
          </w:tcPr>
          <w:p w:rsidR="008C3C2C" w:rsidRPr="003E15CB" w:rsidRDefault="008C3C2C" w:rsidP="00302AAF">
            <w:pPr>
              <w:pStyle w:val="Odlomakpopisa"/>
              <w:ind w:left="0"/>
              <w:jc w:val="right"/>
              <w:rPr>
                <w:rFonts w:ascii="Times New Roman" w:hAnsi="Times New Roman"/>
                <w:kern w:val="0"/>
                <w:sz w:val="20"/>
                <w:szCs w:val="20"/>
              </w:rPr>
            </w:pPr>
            <w:r w:rsidRPr="003E15CB">
              <w:rPr>
                <w:rFonts w:ascii="Times New Roman" w:hAnsi="Times New Roman"/>
                <w:kern w:val="0"/>
                <w:sz w:val="20"/>
                <w:szCs w:val="20"/>
              </w:rPr>
              <w:t xml:space="preserve"> 1.535.075,00</w:t>
            </w:r>
          </w:p>
        </w:tc>
        <w:tc>
          <w:tcPr>
            <w:tcW w:w="1654" w:type="dxa"/>
          </w:tcPr>
          <w:p w:rsidR="008C3C2C" w:rsidRPr="003E15CB" w:rsidRDefault="008C3C2C" w:rsidP="00302AAF">
            <w:pPr>
              <w:pStyle w:val="Odlomakpopisa"/>
              <w:ind w:left="0"/>
              <w:jc w:val="right"/>
              <w:rPr>
                <w:rFonts w:ascii="Times New Roman" w:hAnsi="Times New Roman"/>
                <w:kern w:val="0"/>
                <w:sz w:val="20"/>
                <w:szCs w:val="20"/>
              </w:rPr>
            </w:pPr>
            <w:r w:rsidRPr="003E15CB">
              <w:rPr>
                <w:rFonts w:ascii="Times New Roman" w:hAnsi="Times New Roman"/>
                <w:color w:val="000000"/>
                <w:sz w:val="20"/>
                <w:szCs w:val="20"/>
              </w:rPr>
              <w:t xml:space="preserve"> 589.656,00</w:t>
            </w:r>
          </w:p>
        </w:tc>
        <w:tc>
          <w:tcPr>
            <w:tcW w:w="1654" w:type="dxa"/>
          </w:tcPr>
          <w:p w:rsidR="008C3C2C" w:rsidRPr="003E15CB" w:rsidRDefault="008C3C2C" w:rsidP="00302AAF">
            <w:pPr>
              <w:jc w:val="right"/>
              <w:rPr>
                <w:rFonts w:ascii="Times New Roman" w:hAnsi="Times New Roman" w:cs="Times New Roman"/>
                <w:bCs/>
                <w:sz w:val="20"/>
                <w:szCs w:val="20"/>
              </w:rPr>
            </w:pPr>
            <w:r>
              <w:rPr>
                <w:rFonts w:ascii="Times New Roman" w:hAnsi="Times New Roman"/>
                <w:bCs/>
                <w:sz w:val="20"/>
                <w:szCs w:val="20"/>
              </w:rPr>
              <w:t>-145.964,00</w:t>
            </w:r>
          </w:p>
        </w:tc>
      </w:tr>
    </w:tbl>
    <w:p w:rsidR="008C3C2C" w:rsidRPr="00B95B26" w:rsidRDefault="008C3C2C" w:rsidP="008C3C2C">
      <w:pPr>
        <w:pStyle w:val="Odlomakpopisa"/>
        <w:spacing w:after="0" w:line="240" w:lineRule="auto"/>
        <w:jc w:val="both"/>
        <w:rPr>
          <w:rFonts w:ascii="Times New Roman" w:hAnsi="Times New Roman"/>
          <w:kern w:val="0"/>
          <w:sz w:val="20"/>
          <w:szCs w:val="20"/>
        </w:rPr>
      </w:pPr>
    </w:p>
    <w:p w:rsidR="008C3C2C" w:rsidRPr="00DF5DF8" w:rsidRDefault="008C3C2C" w:rsidP="008C3C2C">
      <w:pPr>
        <w:pStyle w:val="Odlomakpopisa"/>
        <w:numPr>
          <w:ilvl w:val="0"/>
          <w:numId w:val="1"/>
        </w:numPr>
        <w:spacing w:after="0" w:line="240" w:lineRule="auto"/>
        <w:jc w:val="both"/>
        <w:rPr>
          <w:rFonts w:ascii="Times New Roman" w:hAnsi="Times New Roman"/>
          <w:kern w:val="0"/>
          <w:sz w:val="20"/>
          <w:szCs w:val="20"/>
        </w:rPr>
      </w:pPr>
      <w:r w:rsidRPr="00B95B26">
        <w:rPr>
          <w:rFonts w:ascii="Times New Roman" w:hAnsi="Times New Roman"/>
          <w:kern w:val="0"/>
          <w:sz w:val="20"/>
          <w:szCs w:val="20"/>
        </w:rPr>
        <w:t>RAČUN ZADUŽIVANJA/FINANCIRANJA</w:t>
      </w:r>
    </w:p>
    <w:tbl>
      <w:tblPr>
        <w:tblStyle w:val="Reetkatablice"/>
        <w:tblW w:w="9243" w:type="dxa"/>
        <w:tblInd w:w="108" w:type="dxa"/>
        <w:tblLook w:val="04A0" w:firstRow="1" w:lastRow="0" w:firstColumn="1" w:lastColumn="0" w:noHBand="0" w:noVBand="1"/>
      </w:tblPr>
      <w:tblGrid>
        <w:gridCol w:w="4282"/>
        <w:gridCol w:w="1653"/>
        <w:gridCol w:w="1654"/>
        <w:gridCol w:w="1654"/>
      </w:tblGrid>
      <w:tr w:rsidR="008C3C2C" w:rsidRPr="00B95B26" w:rsidTr="00302AAF">
        <w:tc>
          <w:tcPr>
            <w:tcW w:w="4282" w:type="dxa"/>
          </w:tcPr>
          <w:p w:rsidR="008C3C2C" w:rsidRPr="00B95B26" w:rsidRDefault="008C3C2C" w:rsidP="00302AAF">
            <w:pPr>
              <w:jc w:val="both"/>
              <w:rPr>
                <w:rFonts w:ascii="Times New Roman" w:hAnsi="Times New Roman" w:cs="Times New Roman"/>
                <w:sz w:val="20"/>
                <w:szCs w:val="20"/>
              </w:rPr>
            </w:pPr>
            <w:r w:rsidRPr="00B95B26">
              <w:rPr>
                <w:rFonts w:ascii="Times New Roman" w:hAnsi="Times New Roman" w:cs="Times New Roman"/>
                <w:sz w:val="20"/>
                <w:szCs w:val="20"/>
              </w:rPr>
              <w:t>Primici od nefinancijske imovine i zaduživanja</w:t>
            </w:r>
          </w:p>
        </w:tc>
        <w:tc>
          <w:tcPr>
            <w:tcW w:w="1653"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r>
      <w:tr w:rsidR="008C3C2C" w:rsidRPr="00B95B26" w:rsidTr="00302AAF">
        <w:tc>
          <w:tcPr>
            <w:tcW w:w="4282" w:type="dxa"/>
          </w:tcPr>
          <w:p w:rsidR="008C3C2C" w:rsidRPr="00B95B26" w:rsidRDefault="008C3C2C" w:rsidP="00302AAF">
            <w:pPr>
              <w:jc w:val="both"/>
              <w:rPr>
                <w:rFonts w:ascii="Times New Roman" w:hAnsi="Times New Roman" w:cs="Times New Roman"/>
                <w:sz w:val="20"/>
                <w:szCs w:val="20"/>
              </w:rPr>
            </w:pPr>
            <w:r w:rsidRPr="00B95B26">
              <w:rPr>
                <w:rFonts w:ascii="Times New Roman" w:hAnsi="Times New Roman" w:cs="Times New Roman"/>
                <w:sz w:val="20"/>
                <w:szCs w:val="20"/>
              </w:rPr>
              <w:t>Izdaci za financijsku imovinu i otplate zajmova</w:t>
            </w:r>
          </w:p>
        </w:tc>
        <w:tc>
          <w:tcPr>
            <w:tcW w:w="1653"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r>
      <w:tr w:rsidR="008C3C2C" w:rsidRPr="00B95B26" w:rsidTr="00302AAF">
        <w:tc>
          <w:tcPr>
            <w:tcW w:w="4282" w:type="dxa"/>
          </w:tcPr>
          <w:p w:rsidR="008C3C2C" w:rsidRPr="00B95B26" w:rsidRDefault="008C3C2C" w:rsidP="00302AAF">
            <w:pPr>
              <w:jc w:val="both"/>
              <w:rPr>
                <w:rFonts w:ascii="Times New Roman" w:hAnsi="Times New Roman" w:cs="Times New Roman"/>
                <w:sz w:val="20"/>
                <w:szCs w:val="20"/>
              </w:rPr>
            </w:pPr>
            <w:r w:rsidRPr="00B95B26">
              <w:rPr>
                <w:rFonts w:ascii="Times New Roman" w:hAnsi="Times New Roman" w:cs="Times New Roman"/>
                <w:sz w:val="20"/>
                <w:szCs w:val="20"/>
              </w:rPr>
              <w:t>NETO ZADUŽIVANJA / FINANCIRANJE</w:t>
            </w:r>
          </w:p>
        </w:tc>
        <w:tc>
          <w:tcPr>
            <w:tcW w:w="1653"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c>
          <w:tcPr>
            <w:tcW w:w="1654" w:type="dxa"/>
          </w:tcPr>
          <w:p w:rsidR="008C3C2C" w:rsidRPr="00B95B26" w:rsidRDefault="008C3C2C" w:rsidP="00302AAF">
            <w:pPr>
              <w:jc w:val="right"/>
              <w:rPr>
                <w:rFonts w:ascii="Times New Roman" w:hAnsi="Times New Roman" w:cs="Times New Roman"/>
                <w:sz w:val="20"/>
                <w:szCs w:val="20"/>
              </w:rPr>
            </w:pPr>
            <w:r>
              <w:rPr>
                <w:rFonts w:ascii="Times New Roman" w:hAnsi="Times New Roman" w:cs="Times New Roman"/>
                <w:sz w:val="20"/>
                <w:szCs w:val="20"/>
              </w:rPr>
              <w:t>0,00</w:t>
            </w:r>
          </w:p>
        </w:tc>
      </w:tr>
    </w:tbl>
    <w:p w:rsidR="008C3C2C" w:rsidRPr="00B95B26" w:rsidRDefault="008C3C2C" w:rsidP="008C3C2C">
      <w:pPr>
        <w:spacing w:after="0" w:line="240" w:lineRule="auto"/>
        <w:jc w:val="right"/>
        <w:rPr>
          <w:rFonts w:ascii="Times New Roman" w:hAnsi="Times New Roman" w:cs="Times New Roman"/>
          <w:sz w:val="20"/>
          <w:szCs w:val="20"/>
        </w:rPr>
      </w:pPr>
    </w:p>
    <w:tbl>
      <w:tblPr>
        <w:tblStyle w:val="Reetkatablice"/>
        <w:tblW w:w="9243" w:type="dxa"/>
        <w:tblInd w:w="108" w:type="dxa"/>
        <w:tblLook w:val="04A0" w:firstRow="1" w:lastRow="0" w:firstColumn="1" w:lastColumn="0" w:noHBand="0" w:noVBand="1"/>
      </w:tblPr>
      <w:tblGrid>
        <w:gridCol w:w="4282"/>
        <w:gridCol w:w="1653"/>
        <w:gridCol w:w="1654"/>
        <w:gridCol w:w="1654"/>
      </w:tblGrid>
      <w:tr w:rsidR="008C3C2C" w:rsidRPr="00B95B26" w:rsidTr="00302AAF">
        <w:tc>
          <w:tcPr>
            <w:tcW w:w="4282" w:type="dxa"/>
          </w:tcPr>
          <w:p w:rsidR="008C3C2C" w:rsidRDefault="008C3C2C" w:rsidP="00302AAF">
            <w:pPr>
              <w:jc w:val="both"/>
              <w:rPr>
                <w:rFonts w:ascii="Times New Roman" w:hAnsi="Times New Roman" w:cs="Times New Roman"/>
                <w:sz w:val="20"/>
                <w:szCs w:val="20"/>
              </w:rPr>
            </w:pPr>
            <w:r w:rsidRPr="003E15CB">
              <w:rPr>
                <w:rFonts w:ascii="Times New Roman" w:hAnsi="Times New Roman" w:cs="Times New Roman"/>
                <w:sz w:val="20"/>
                <w:szCs w:val="20"/>
              </w:rPr>
              <w:t>VIŠAK/MANJAK+RASPOLOŽIVA SREDSTVA IZ PRETHODNIH GODINA</w:t>
            </w:r>
            <w:r>
              <w:rPr>
                <w:rFonts w:ascii="Times New Roman" w:hAnsi="Times New Roman" w:cs="Times New Roman"/>
                <w:sz w:val="20"/>
                <w:szCs w:val="20"/>
              </w:rPr>
              <w:t>+</w:t>
            </w:r>
          </w:p>
          <w:p w:rsidR="008C3C2C" w:rsidRPr="003E15CB" w:rsidRDefault="008C3C2C" w:rsidP="00302AAF">
            <w:pPr>
              <w:jc w:val="both"/>
              <w:rPr>
                <w:rFonts w:ascii="Times New Roman" w:hAnsi="Times New Roman" w:cs="Times New Roman"/>
                <w:sz w:val="20"/>
                <w:szCs w:val="20"/>
              </w:rPr>
            </w:pPr>
            <w:r w:rsidRPr="003E15CB">
              <w:rPr>
                <w:rFonts w:ascii="Times New Roman" w:hAnsi="Times New Roman" w:cs="Times New Roman"/>
                <w:sz w:val="20"/>
                <w:szCs w:val="20"/>
              </w:rPr>
              <w:t>NETO FINANCIRANJE/ZADUŽIVANJE</w:t>
            </w:r>
          </w:p>
        </w:tc>
        <w:tc>
          <w:tcPr>
            <w:tcW w:w="1653" w:type="dxa"/>
            <w:vAlign w:val="center"/>
          </w:tcPr>
          <w:p w:rsidR="008C3C2C" w:rsidRPr="00362DE9" w:rsidRDefault="008C3C2C" w:rsidP="00302AAF">
            <w:pPr>
              <w:jc w:val="right"/>
              <w:rPr>
                <w:rFonts w:ascii="Times New Roman" w:hAnsi="Times New Roman" w:cs="Times New Roman"/>
                <w:b/>
                <w:sz w:val="20"/>
                <w:szCs w:val="20"/>
              </w:rPr>
            </w:pPr>
            <w:r w:rsidRPr="00362DE9">
              <w:rPr>
                <w:rFonts w:ascii="Times New Roman" w:hAnsi="Times New Roman" w:cs="Times New Roman"/>
                <w:b/>
                <w:sz w:val="20"/>
                <w:szCs w:val="20"/>
              </w:rPr>
              <w:t>589.656,45</w:t>
            </w:r>
          </w:p>
        </w:tc>
        <w:tc>
          <w:tcPr>
            <w:tcW w:w="1654" w:type="dxa"/>
            <w:vAlign w:val="center"/>
          </w:tcPr>
          <w:p w:rsidR="008C3C2C" w:rsidRPr="00362DE9" w:rsidRDefault="008C3C2C" w:rsidP="00302AAF">
            <w:pPr>
              <w:jc w:val="right"/>
              <w:rPr>
                <w:rFonts w:ascii="Times New Roman" w:hAnsi="Times New Roman" w:cs="Times New Roman"/>
                <w:b/>
                <w:sz w:val="20"/>
                <w:szCs w:val="20"/>
              </w:rPr>
            </w:pPr>
            <w:r w:rsidRPr="00362DE9">
              <w:rPr>
                <w:rFonts w:ascii="Times New Roman" w:hAnsi="Times New Roman" w:cs="Times New Roman"/>
                <w:b/>
                <w:sz w:val="20"/>
                <w:szCs w:val="20"/>
              </w:rPr>
              <w:t>-1.082.129,53</w:t>
            </w:r>
          </w:p>
        </w:tc>
        <w:tc>
          <w:tcPr>
            <w:tcW w:w="1654" w:type="dxa"/>
            <w:vAlign w:val="center"/>
          </w:tcPr>
          <w:p w:rsidR="008C3C2C" w:rsidRPr="00362DE9" w:rsidRDefault="008C3C2C" w:rsidP="00302AAF">
            <w:pPr>
              <w:jc w:val="right"/>
              <w:rPr>
                <w:rFonts w:ascii="Times New Roman" w:hAnsi="Times New Roman" w:cs="Times New Roman"/>
                <w:b/>
                <w:sz w:val="20"/>
                <w:szCs w:val="20"/>
              </w:rPr>
            </w:pPr>
            <w:r w:rsidRPr="00362DE9">
              <w:rPr>
                <w:rFonts w:ascii="Times New Roman" w:hAnsi="Times New Roman" w:cs="Times New Roman"/>
                <w:b/>
                <w:sz w:val="20"/>
                <w:szCs w:val="20"/>
              </w:rPr>
              <w:t>-145.964,00</w:t>
            </w:r>
          </w:p>
        </w:tc>
      </w:tr>
    </w:tbl>
    <w:p w:rsidR="008C3C2C" w:rsidRPr="003E15CB" w:rsidRDefault="008C3C2C" w:rsidP="008C3C2C">
      <w:pPr>
        <w:widowControl w:val="0"/>
        <w:tabs>
          <w:tab w:val="left" w:pos="90"/>
        </w:tabs>
        <w:autoSpaceDE w:val="0"/>
        <w:autoSpaceDN w:val="0"/>
        <w:adjustRightInd w:val="0"/>
        <w:spacing w:after="0" w:line="240" w:lineRule="auto"/>
        <w:rPr>
          <w:rFonts w:ascii="Times New Roman" w:hAnsi="Times New Roman" w:cs="Times New Roman"/>
          <w:color w:val="000000"/>
          <w:sz w:val="20"/>
          <w:szCs w:val="20"/>
        </w:rPr>
      </w:pPr>
    </w:p>
    <w:p w:rsidR="008C3C2C" w:rsidRPr="0064197B" w:rsidRDefault="008C3C2C" w:rsidP="008C3C2C">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C3C2C" w:rsidRPr="00143C34" w:rsidRDefault="008C3C2C" w:rsidP="008C3C2C">
      <w:pPr>
        <w:pStyle w:val="Default"/>
        <w:jc w:val="both"/>
        <w:rPr>
          <w:color w:val="auto"/>
          <w:sz w:val="22"/>
          <w:szCs w:val="22"/>
        </w:rPr>
      </w:pPr>
      <w:r w:rsidRPr="00143C34">
        <w:rPr>
          <w:b/>
          <w:bCs/>
          <w:color w:val="auto"/>
          <w:sz w:val="22"/>
          <w:szCs w:val="22"/>
        </w:rPr>
        <w:t xml:space="preserve">3. IZVJEŠTAJ O KORIŠTENJU PRORAČUNSKE ZALIHE </w:t>
      </w:r>
    </w:p>
    <w:p w:rsidR="008C3C2C" w:rsidRDefault="008C3C2C" w:rsidP="008C3C2C">
      <w:pPr>
        <w:pStyle w:val="Default"/>
        <w:jc w:val="both"/>
        <w:rPr>
          <w:color w:val="auto"/>
          <w:sz w:val="22"/>
          <w:szCs w:val="22"/>
        </w:rPr>
      </w:pPr>
      <w:r w:rsidRPr="00143C34">
        <w:rPr>
          <w:color w:val="auto"/>
          <w:sz w:val="22"/>
          <w:szCs w:val="22"/>
        </w:rPr>
        <w:t xml:space="preserve">    U Proračunu Općine Tovarnik za 20</w:t>
      </w:r>
      <w:r>
        <w:rPr>
          <w:color w:val="auto"/>
          <w:sz w:val="22"/>
          <w:szCs w:val="22"/>
        </w:rPr>
        <w:t>20</w:t>
      </w:r>
      <w:r w:rsidRPr="00143C34">
        <w:rPr>
          <w:color w:val="auto"/>
          <w:sz w:val="22"/>
          <w:szCs w:val="22"/>
        </w:rPr>
        <w:t xml:space="preserve">. g. nije planirana proračunsku zalihu, samim tim nije bilo      niti korištenja iste. </w:t>
      </w:r>
    </w:p>
    <w:p w:rsidR="008C3C2C" w:rsidRPr="00143C34" w:rsidRDefault="008C3C2C" w:rsidP="008C3C2C">
      <w:pPr>
        <w:pStyle w:val="Default"/>
        <w:jc w:val="both"/>
        <w:rPr>
          <w:color w:val="auto"/>
          <w:sz w:val="22"/>
          <w:szCs w:val="22"/>
        </w:rPr>
      </w:pPr>
    </w:p>
    <w:p w:rsidR="008C3C2C" w:rsidRPr="00143C34" w:rsidRDefault="008C3C2C" w:rsidP="008C3C2C">
      <w:pPr>
        <w:pStyle w:val="Default"/>
        <w:jc w:val="both"/>
        <w:rPr>
          <w:b/>
          <w:bCs/>
          <w:color w:val="auto"/>
          <w:sz w:val="22"/>
          <w:szCs w:val="22"/>
        </w:rPr>
      </w:pPr>
      <w:r w:rsidRPr="00143C34">
        <w:rPr>
          <w:b/>
          <w:bCs/>
          <w:color w:val="auto"/>
          <w:sz w:val="22"/>
          <w:szCs w:val="22"/>
        </w:rPr>
        <w:t xml:space="preserve">4. IZVJEŠTAJ O ZADUŽIVANJU NA DOMAĆEM I STRANOM TRŽIŠTU NOVCA I KAPITALA </w:t>
      </w:r>
    </w:p>
    <w:p w:rsidR="008C3C2C" w:rsidRPr="00143C34" w:rsidRDefault="008C3C2C" w:rsidP="008C3C2C">
      <w:pPr>
        <w:pStyle w:val="Default"/>
        <w:rPr>
          <w:color w:val="auto"/>
          <w:sz w:val="22"/>
          <w:szCs w:val="22"/>
        </w:rPr>
      </w:pPr>
      <w:r w:rsidRPr="00143C34">
        <w:rPr>
          <w:color w:val="auto"/>
          <w:sz w:val="22"/>
          <w:szCs w:val="22"/>
        </w:rPr>
        <w:t xml:space="preserve">     U periodu od 01. siječnja do 31. prosinca 20</w:t>
      </w:r>
      <w:r>
        <w:rPr>
          <w:color w:val="auto"/>
          <w:sz w:val="22"/>
          <w:szCs w:val="22"/>
        </w:rPr>
        <w:t>20</w:t>
      </w:r>
      <w:r w:rsidRPr="00143C34">
        <w:rPr>
          <w:color w:val="auto"/>
          <w:sz w:val="22"/>
          <w:szCs w:val="22"/>
        </w:rPr>
        <w:t xml:space="preserve">. g. Općina Tovarnik se nije zaduživala. </w:t>
      </w:r>
    </w:p>
    <w:p w:rsidR="008C3C2C" w:rsidRPr="00143C34" w:rsidRDefault="008C3C2C" w:rsidP="008C3C2C">
      <w:pPr>
        <w:pStyle w:val="Default"/>
        <w:jc w:val="both"/>
        <w:rPr>
          <w:color w:val="auto"/>
          <w:sz w:val="22"/>
          <w:szCs w:val="22"/>
        </w:rPr>
      </w:pPr>
    </w:p>
    <w:p w:rsidR="008C3C2C" w:rsidRPr="00143C34" w:rsidRDefault="008C3C2C" w:rsidP="008C3C2C">
      <w:pPr>
        <w:pStyle w:val="Default"/>
        <w:jc w:val="both"/>
        <w:rPr>
          <w:color w:val="auto"/>
          <w:sz w:val="22"/>
          <w:szCs w:val="22"/>
        </w:rPr>
      </w:pPr>
      <w:r w:rsidRPr="00143C34">
        <w:rPr>
          <w:b/>
          <w:bCs/>
          <w:color w:val="auto"/>
          <w:sz w:val="22"/>
          <w:szCs w:val="22"/>
        </w:rPr>
        <w:t xml:space="preserve">5. IZVJEŠTAJ O DANIM JAMSTVIMA I IZDACIMA PO JAMSTVIMA </w:t>
      </w:r>
    </w:p>
    <w:p w:rsidR="008C3C2C" w:rsidRPr="00143C34" w:rsidRDefault="008C3C2C" w:rsidP="008C3C2C">
      <w:pPr>
        <w:pStyle w:val="Default"/>
        <w:jc w:val="both"/>
        <w:rPr>
          <w:color w:val="auto"/>
          <w:sz w:val="22"/>
          <w:szCs w:val="22"/>
        </w:rPr>
      </w:pPr>
      <w:r w:rsidRPr="00143C34">
        <w:rPr>
          <w:color w:val="auto"/>
          <w:sz w:val="22"/>
          <w:szCs w:val="22"/>
        </w:rPr>
        <w:t xml:space="preserve">    Općina Tovarnik  </w:t>
      </w:r>
      <w:r>
        <w:rPr>
          <w:color w:val="auto"/>
          <w:sz w:val="22"/>
          <w:szCs w:val="22"/>
        </w:rPr>
        <w:t>ne</w:t>
      </w:r>
      <w:r w:rsidRPr="00143C34">
        <w:rPr>
          <w:color w:val="auto"/>
          <w:sz w:val="22"/>
          <w:szCs w:val="22"/>
        </w:rPr>
        <w:t xml:space="preserve">ma izdane </w:t>
      </w:r>
      <w:r>
        <w:rPr>
          <w:color w:val="auto"/>
          <w:sz w:val="22"/>
          <w:szCs w:val="22"/>
        </w:rPr>
        <w:t>bjanko zadužnice.</w:t>
      </w:r>
      <w:r w:rsidRPr="00143C34">
        <w:rPr>
          <w:color w:val="auto"/>
          <w:sz w:val="22"/>
          <w:szCs w:val="22"/>
        </w:rPr>
        <w:t xml:space="preserve">  </w:t>
      </w:r>
    </w:p>
    <w:p w:rsidR="008C3C2C" w:rsidRDefault="008C3C2C" w:rsidP="008C3C2C">
      <w:pPr>
        <w:pStyle w:val="Default"/>
        <w:jc w:val="both"/>
        <w:rPr>
          <w:color w:val="auto"/>
          <w:sz w:val="22"/>
          <w:szCs w:val="22"/>
        </w:rPr>
      </w:pPr>
    </w:p>
    <w:p w:rsidR="008C3C2C" w:rsidRPr="00143C34" w:rsidRDefault="008C3C2C" w:rsidP="008C3C2C">
      <w:pPr>
        <w:pStyle w:val="Default"/>
        <w:jc w:val="both"/>
        <w:rPr>
          <w:color w:val="auto"/>
          <w:sz w:val="22"/>
          <w:szCs w:val="22"/>
        </w:rPr>
      </w:pPr>
      <w:r w:rsidRPr="00143C34">
        <w:rPr>
          <w:b/>
          <w:bCs/>
          <w:color w:val="auto"/>
          <w:sz w:val="22"/>
          <w:szCs w:val="22"/>
        </w:rPr>
        <w:t xml:space="preserve">6. OBRAŽLOŽENJE OSTVARENIH PRIHODA I PRIMITKA, RASHODA I IZDATAKA </w:t>
      </w:r>
    </w:p>
    <w:p w:rsidR="008C3C2C" w:rsidRPr="00143C34" w:rsidRDefault="008C3C2C" w:rsidP="008C3C2C">
      <w:pPr>
        <w:pStyle w:val="Default"/>
        <w:jc w:val="both"/>
        <w:rPr>
          <w:color w:val="auto"/>
          <w:sz w:val="22"/>
          <w:szCs w:val="22"/>
        </w:rPr>
      </w:pPr>
    </w:p>
    <w:p w:rsidR="008C3C2C" w:rsidRPr="00143C34" w:rsidRDefault="008C3C2C" w:rsidP="008C3C2C">
      <w:pPr>
        <w:pStyle w:val="Default"/>
        <w:numPr>
          <w:ilvl w:val="0"/>
          <w:numId w:val="4"/>
        </w:numPr>
        <w:jc w:val="both"/>
        <w:rPr>
          <w:color w:val="auto"/>
          <w:sz w:val="22"/>
          <w:szCs w:val="22"/>
        </w:rPr>
      </w:pPr>
      <w:r w:rsidRPr="00143C34">
        <w:rPr>
          <w:color w:val="auto"/>
          <w:sz w:val="22"/>
          <w:szCs w:val="22"/>
        </w:rPr>
        <w:t>U  20</w:t>
      </w:r>
      <w:r>
        <w:rPr>
          <w:color w:val="auto"/>
          <w:sz w:val="22"/>
          <w:szCs w:val="22"/>
        </w:rPr>
        <w:t>20</w:t>
      </w:r>
      <w:r w:rsidRPr="00143C34">
        <w:rPr>
          <w:color w:val="auto"/>
          <w:sz w:val="22"/>
          <w:szCs w:val="22"/>
        </w:rPr>
        <w:t xml:space="preserve"> godine ukupni prihodi/primici ostvareni su u iznosu od 1</w:t>
      </w:r>
      <w:r>
        <w:rPr>
          <w:color w:val="auto"/>
          <w:sz w:val="22"/>
          <w:szCs w:val="22"/>
        </w:rPr>
        <w:t>4.662.232,00</w:t>
      </w:r>
      <w:r w:rsidRPr="00143C34">
        <w:rPr>
          <w:color w:val="auto"/>
          <w:sz w:val="22"/>
          <w:szCs w:val="22"/>
        </w:rPr>
        <w:t xml:space="preserve"> kn, odnosno </w:t>
      </w:r>
      <w:r>
        <w:rPr>
          <w:color w:val="auto"/>
          <w:sz w:val="22"/>
          <w:szCs w:val="22"/>
        </w:rPr>
        <w:t>3,9</w:t>
      </w:r>
      <w:r w:rsidRPr="00143C34">
        <w:rPr>
          <w:color w:val="auto"/>
          <w:sz w:val="22"/>
          <w:szCs w:val="22"/>
        </w:rPr>
        <w:t xml:space="preserve"> %</w:t>
      </w:r>
      <w:r>
        <w:rPr>
          <w:color w:val="auto"/>
          <w:sz w:val="22"/>
          <w:szCs w:val="22"/>
        </w:rPr>
        <w:t xml:space="preserve"> više</w:t>
      </w:r>
      <w:r w:rsidRPr="00143C34">
        <w:rPr>
          <w:color w:val="auto"/>
          <w:sz w:val="22"/>
          <w:szCs w:val="22"/>
        </w:rPr>
        <w:t xml:space="preserve">  od plana. </w:t>
      </w:r>
    </w:p>
    <w:p w:rsidR="008C3C2C" w:rsidRPr="00143C34" w:rsidRDefault="008C3C2C" w:rsidP="008C3C2C">
      <w:pPr>
        <w:pStyle w:val="Default"/>
        <w:numPr>
          <w:ilvl w:val="0"/>
          <w:numId w:val="4"/>
        </w:numPr>
        <w:jc w:val="both"/>
        <w:rPr>
          <w:color w:val="auto"/>
          <w:sz w:val="22"/>
          <w:szCs w:val="22"/>
        </w:rPr>
      </w:pPr>
      <w:r w:rsidRPr="00143C34">
        <w:rPr>
          <w:color w:val="auto"/>
          <w:sz w:val="22"/>
          <w:szCs w:val="22"/>
        </w:rPr>
        <w:t>Ukupni rashodi/izdaci u 20</w:t>
      </w:r>
      <w:r>
        <w:rPr>
          <w:color w:val="auto"/>
          <w:sz w:val="22"/>
          <w:szCs w:val="22"/>
        </w:rPr>
        <w:t>20</w:t>
      </w:r>
      <w:r w:rsidRPr="00143C34">
        <w:rPr>
          <w:color w:val="auto"/>
          <w:sz w:val="22"/>
          <w:szCs w:val="22"/>
        </w:rPr>
        <w:t xml:space="preserve">. godini iznose </w:t>
      </w:r>
      <w:r>
        <w:rPr>
          <w:color w:val="auto"/>
          <w:sz w:val="22"/>
          <w:szCs w:val="22"/>
        </w:rPr>
        <w:t>15.397.852,00</w:t>
      </w:r>
      <w:r w:rsidRPr="00143C34">
        <w:rPr>
          <w:color w:val="auto"/>
          <w:sz w:val="22"/>
          <w:szCs w:val="22"/>
        </w:rPr>
        <w:t xml:space="preserve"> kn, odnosno </w:t>
      </w:r>
      <w:r>
        <w:rPr>
          <w:color w:val="auto"/>
          <w:sz w:val="22"/>
          <w:szCs w:val="22"/>
        </w:rPr>
        <w:t>1,4</w:t>
      </w:r>
      <w:r w:rsidRPr="00143C34">
        <w:rPr>
          <w:color w:val="auto"/>
          <w:sz w:val="22"/>
          <w:szCs w:val="22"/>
        </w:rPr>
        <w:t xml:space="preserve"> % </w:t>
      </w:r>
      <w:r>
        <w:rPr>
          <w:color w:val="auto"/>
          <w:sz w:val="22"/>
          <w:szCs w:val="22"/>
        </w:rPr>
        <w:t xml:space="preserve">više </w:t>
      </w:r>
      <w:r w:rsidRPr="00143C34">
        <w:rPr>
          <w:color w:val="auto"/>
          <w:sz w:val="22"/>
          <w:szCs w:val="22"/>
        </w:rPr>
        <w:t xml:space="preserve">od plana. </w:t>
      </w:r>
    </w:p>
    <w:p w:rsidR="008C3C2C" w:rsidRDefault="008C3C2C" w:rsidP="008C3C2C">
      <w:pPr>
        <w:pStyle w:val="Odlomakpopisa"/>
        <w:numPr>
          <w:ilvl w:val="0"/>
          <w:numId w:val="4"/>
        </w:numPr>
        <w:overflowPunct w:val="0"/>
        <w:autoSpaceDE w:val="0"/>
        <w:autoSpaceDN w:val="0"/>
        <w:adjustRightInd w:val="0"/>
        <w:spacing w:after="0" w:line="240" w:lineRule="auto"/>
        <w:jc w:val="both"/>
        <w:textAlignment w:val="baseline"/>
        <w:rPr>
          <w:rFonts w:ascii="Times New Roman" w:hAnsi="Times New Roman"/>
        </w:rPr>
      </w:pPr>
      <w:r w:rsidRPr="00143C34">
        <w:rPr>
          <w:rFonts w:ascii="Times New Roman" w:hAnsi="Times New Roman"/>
        </w:rPr>
        <w:t xml:space="preserve">Razlika između ostvarenih prihoda/primitaka i rashoda/izdataka daje manjak prihoda/primitaka u iznosu </w:t>
      </w:r>
      <w:r>
        <w:rPr>
          <w:rFonts w:ascii="Times New Roman" w:hAnsi="Times New Roman"/>
        </w:rPr>
        <w:t>735.620,00</w:t>
      </w:r>
      <w:r w:rsidRPr="00143C34">
        <w:rPr>
          <w:rFonts w:ascii="Times New Roman" w:hAnsi="Times New Roman"/>
        </w:rPr>
        <w:t xml:space="preserve"> kn</w:t>
      </w:r>
    </w:p>
    <w:p w:rsidR="008C3C2C" w:rsidRDefault="008C3C2C" w:rsidP="008C3C2C">
      <w:pPr>
        <w:pStyle w:val="Odlomakpopisa"/>
        <w:numPr>
          <w:ilvl w:val="0"/>
          <w:numId w:val="4"/>
        </w:numPr>
        <w:overflowPunct w:val="0"/>
        <w:autoSpaceDE w:val="0"/>
        <w:autoSpaceDN w:val="0"/>
        <w:adjustRightInd w:val="0"/>
        <w:spacing w:after="0" w:line="240" w:lineRule="auto"/>
        <w:jc w:val="both"/>
        <w:textAlignment w:val="baseline"/>
        <w:rPr>
          <w:rFonts w:ascii="Times New Roman" w:hAnsi="Times New Roman"/>
        </w:rPr>
      </w:pPr>
      <w:r w:rsidRPr="00B90788">
        <w:rPr>
          <w:rFonts w:ascii="Times New Roman" w:hAnsi="Times New Roman"/>
        </w:rPr>
        <w:t xml:space="preserve">Uključujući preneseni višak prihoda/primitaka iz prethodnih godina  u iznosu 589.656,00,00kn i manjak prihoda tekuće godine 735.620,00 čini  manjak  prihoda u sljedećem razdoblju koji  iznosi 145.964,00 kn. </w:t>
      </w:r>
    </w:p>
    <w:p w:rsidR="008C3C2C" w:rsidRPr="00DF5DF8" w:rsidRDefault="008C3C2C" w:rsidP="008C3C2C">
      <w:pPr>
        <w:pStyle w:val="Odlomakpopisa"/>
        <w:overflowPunct w:val="0"/>
        <w:autoSpaceDE w:val="0"/>
        <w:autoSpaceDN w:val="0"/>
        <w:adjustRightInd w:val="0"/>
        <w:spacing w:after="0" w:line="240" w:lineRule="auto"/>
        <w:jc w:val="both"/>
        <w:textAlignment w:val="baseline"/>
        <w:rPr>
          <w:rFonts w:ascii="Times New Roman" w:hAnsi="Times New Roman"/>
        </w:rPr>
      </w:pPr>
    </w:p>
    <w:p w:rsidR="008C3C2C" w:rsidRPr="00143C34" w:rsidRDefault="008C3C2C" w:rsidP="008C3C2C">
      <w:pPr>
        <w:pStyle w:val="Default"/>
        <w:jc w:val="both"/>
        <w:rPr>
          <w:color w:val="auto"/>
          <w:sz w:val="22"/>
          <w:szCs w:val="22"/>
        </w:rPr>
      </w:pPr>
      <w:r w:rsidRPr="00143C34">
        <w:rPr>
          <w:b/>
          <w:bCs/>
          <w:i/>
          <w:iCs/>
          <w:color w:val="auto"/>
          <w:sz w:val="22"/>
          <w:szCs w:val="22"/>
        </w:rPr>
        <w:t xml:space="preserve">6.1. OBRAZLOŽENJE OSTVARENJA PRIHODA I PRIMITAKA </w:t>
      </w:r>
    </w:p>
    <w:p w:rsidR="008C3C2C" w:rsidRPr="00143C34" w:rsidRDefault="008C3C2C" w:rsidP="008C3C2C">
      <w:pPr>
        <w:pStyle w:val="Default"/>
        <w:jc w:val="both"/>
        <w:rPr>
          <w:color w:val="auto"/>
          <w:sz w:val="22"/>
          <w:szCs w:val="22"/>
        </w:rPr>
      </w:pPr>
    </w:p>
    <w:p w:rsidR="008C3C2C" w:rsidRPr="00143C34" w:rsidRDefault="008C3C2C" w:rsidP="008C3C2C">
      <w:pPr>
        <w:pStyle w:val="Default"/>
        <w:jc w:val="both"/>
        <w:rPr>
          <w:color w:val="auto"/>
          <w:sz w:val="22"/>
          <w:szCs w:val="22"/>
        </w:rPr>
      </w:pPr>
      <w:r w:rsidRPr="00143C34">
        <w:rPr>
          <w:color w:val="auto"/>
          <w:sz w:val="22"/>
          <w:szCs w:val="22"/>
        </w:rPr>
        <w:t xml:space="preserve">Prihodi/primici u </w:t>
      </w:r>
      <w:r>
        <w:rPr>
          <w:color w:val="auto"/>
          <w:sz w:val="22"/>
          <w:szCs w:val="22"/>
        </w:rPr>
        <w:t>2020</w:t>
      </w:r>
      <w:r w:rsidRPr="00143C34">
        <w:rPr>
          <w:color w:val="auto"/>
          <w:sz w:val="22"/>
          <w:szCs w:val="22"/>
        </w:rPr>
        <w:t xml:space="preserve">. g. realizirani su u iznosu </w:t>
      </w:r>
      <w:r>
        <w:rPr>
          <w:color w:val="auto"/>
          <w:sz w:val="22"/>
          <w:szCs w:val="22"/>
        </w:rPr>
        <w:t>14.662.232,</w:t>
      </w:r>
      <w:r w:rsidRPr="00143C34">
        <w:rPr>
          <w:color w:val="auto"/>
          <w:sz w:val="22"/>
          <w:szCs w:val="22"/>
        </w:rPr>
        <w:t>00</w:t>
      </w:r>
      <w:r>
        <w:rPr>
          <w:color w:val="auto"/>
          <w:sz w:val="22"/>
          <w:szCs w:val="22"/>
        </w:rPr>
        <w:t xml:space="preserve"> kn ili </w:t>
      </w:r>
      <w:r w:rsidRPr="00143C34">
        <w:rPr>
          <w:color w:val="auto"/>
          <w:sz w:val="22"/>
          <w:szCs w:val="22"/>
        </w:rPr>
        <w:t xml:space="preserve">97,9% od godišnjeg plana. </w:t>
      </w:r>
    </w:p>
    <w:p w:rsidR="008C3C2C" w:rsidRDefault="008C3C2C" w:rsidP="008C3C2C">
      <w:pPr>
        <w:pStyle w:val="Default"/>
        <w:jc w:val="both"/>
        <w:rPr>
          <w:color w:val="auto"/>
          <w:sz w:val="22"/>
          <w:szCs w:val="22"/>
        </w:rPr>
      </w:pPr>
      <w:r w:rsidRPr="00143C34">
        <w:rPr>
          <w:color w:val="auto"/>
          <w:sz w:val="22"/>
          <w:szCs w:val="22"/>
        </w:rPr>
        <w:t>U nastavku daje se obrazloženje ostvarenja pojedinih vrsta prihoda/ primitaka po osnovnim skupinama prihoda  u odnosu na ukupno planirane prihode</w:t>
      </w:r>
      <w:r>
        <w:rPr>
          <w:color w:val="auto"/>
          <w:sz w:val="22"/>
          <w:szCs w:val="22"/>
        </w:rPr>
        <w:t>.</w:t>
      </w:r>
    </w:p>
    <w:p w:rsidR="008C3C2C" w:rsidRPr="000B7716" w:rsidRDefault="008C3C2C" w:rsidP="008C3C2C">
      <w:pPr>
        <w:pStyle w:val="Default"/>
        <w:jc w:val="both"/>
        <w:rPr>
          <w:iCs/>
          <w:color w:val="auto"/>
          <w:sz w:val="22"/>
          <w:szCs w:val="22"/>
        </w:rPr>
      </w:pPr>
    </w:p>
    <w:p w:rsidR="008C3C2C" w:rsidRPr="00143C34" w:rsidRDefault="008C3C2C" w:rsidP="008C3C2C">
      <w:pPr>
        <w:pStyle w:val="Default"/>
        <w:jc w:val="both"/>
        <w:rPr>
          <w:i/>
          <w:iCs/>
          <w:color w:val="auto"/>
          <w:sz w:val="22"/>
          <w:szCs w:val="22"/>
          <w:u w:val="single"/>
        </w:rPr>
      </w:pPr>
      <w:r w:rsidRPr="00143C34">
        <w:rPr>
          <w:i/>
          <w:iCs/>
          <w:color w:val="auto"/>
          <w:sz w:val="22"/>
          <w:szCs w:val="22"/>
          <w:u w:val="single"/>
        </w:rPr>
        <w:t xml:space="preserve">PRIHODI POSLOVANJA </w:t>
      </w:r>
    </w:p>
    <w:p w:rsidR="008C3C2C" w:rsidRPr="00143C34" w:rsidRDefault="008C3C2C" w:rsidP="008C3C2C">
      <w:pPr>
        <w:pStyle w:val="Default"/>
        <w:jc w:val="both"/>
        <w:rPr>
          <w:i/>
          <w:iCs/>
          <w:color w:val="auto"/>
          <w:sz w:val="22"/>
          <w:szCs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9"/>
        <w:gridCol w:w="1842"/>
        <w:gridCol w:w="1843"/>
        <w:gridCol w:w="1250"/>
      </w:tblGrid>
      <w:tr w:rsidR="008C3C2C" w:rsidRPr="00143C34" w:rsidTr="00302AAF">
        <w:trPr>
          <w:trHeight w:val="828"/>
        </w:trPr>
        <w:tc>
          <w:tcPr>
            <w:tcW w:w="4279"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rPr>
                <w:rFonts w:ascii="Times New Roman" w:hAnsi="Times New Roman"/>
              </w:rPr>
            </w:pPr>
            <w:r w:rsidRPr="00AF2EA2">
              <w:rPr>
                <w:rFonts w:ascii="Times New Roman" w:hAnsi="Times New Roman"/>
              </w:rPr>
              <w:t xml:space="preserve">PRIHODI POSLOVANJA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Plan 2020.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Izvršenje</w:t>
            </w:r>
          </w:p>
          <w:p w:rsidR="008C3C2C" w:rsidRPr="00AF2EA2" w:rsidRDefault="008C3C2C" w:rsidP="00302AAF">
            <w:pPr>
              <w:pStyle w:val="Bezproreda"/>
              <w:jc w:val="center"/>
              <w:rPr>
                <w:rFonts w:ascii="Times New Roman" w:hAnsi="Times New Roman"/>
              </w:rPr>
            </w:pPr>
            <w:r w:rsidRPr="00AF2EA2">
              <w:rPr>
                <w:rFonts w:ascii="Times New Roman" w:hAnsi="Times New Roman"/>
              </w:rPr>
              <w:t>1.1 – 31.12. 2020.</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Indeks 2/1</w:t>
            </w:r>
          </w:p>
        </w:tc>
      </w:tr>
      <w:tr w:rsidR="008C3C2C" w:rsidRPr="00143C34" w:rsidTr="00302AAF">
        <w:trPr>
          <w:trHeight w:val="204"/>
        </w:trPr>
        <w:tc>
          <w:tcPr>
            <w:tcW w:w="4279"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1</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2</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3</w:t>
            </w:r>
          </w:p>
        </w:tc>
      </w:tr>
      <w:tr w:rsidR="008C3C2C" w:rsidRPr="00362DE9" w:rsidTr="00302AAF">
        <w:trPr>
          <w:trHeight w:val="294"/>
        </w:trPr>
        <w:tc>
          <w:tcPr>
            <w:tcW w:w="4279"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rPr>
                <w:rFonts w:ascii="Times New Roman" w:hAnsi="Times New Roman"/>
              </w:rPr>
            </w:pPr>
            <w:r w:rsidRPr="00362DE9">
              <w:rPr>
                <w:rFonts w:ascii="Times New Roman" w:hAnsi="Times New Roman"/>
              </w:rPr>
              <w:t>Prihodi od poreza 61</w:t>
            </w: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5.081.074,18 </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5.069.758,00 </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99,8 %</w:t>
            </w:r>
          </w:p>
        </w:tc>
      </w:tr>
      <w:tr w:rsidR="008C3C2C" w:rsidRPr="00362DE9" w:rsidTr="00302AAF">
        <w:trPr>
          <w:trHeight w:val="158"/>
        </w:trPr>
        <w:tc>
          <w:tcPr>
            <w:tcW w:w="4279"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rPr>
                <w:rFonts w:ascii="Times New Roman" w:hAnsi="Times New Roman"/>
              </w:rPr>
            </w:pPr>
            <w:r w:rsidRPr="00362DE9">
              <w:rPr>
                <w:rFonts w:ascii="Times New Roman" w:hAnsi="Times New Roman"/>
              </w:rPr>
              <w:t>Pomoći 63</w:t>
            </w: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5.933.670,89 </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4.496.955,00 </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75,8% </w:t>
            </w:r>
          </w:p>
        </w:tc>
      </w:tr>
      <w:tr w:rsidR="008C3C2C" w:rsidRPr="00362DE9" w:rsidTr="00302AAF">
        <w:trPr>
          <w:trHeight w:val="190"/>
        </w:trPr>
        <w:tc>
          <w:tcPr>
            <w:tcW w:w="4279"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rPr>
                <w:rFonts w:ascii="Times New Roman" w:hAnsi="Times New Roman"/>
              </w:rPr>
            </w:pPr>
            <w:r w:rsidRPr="00362DE9">
              <w:rPr>
                <w:rFonts w:ascii="Times New Roman" w:hAnsi="Times New Roman"/>
              </w:rPr>
              <w:t>Prihodi od imovine 64</w:t>
            </w: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5.789.800,00 </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4.437.637,00 </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362DE9" w:rsidRDefault="008C3C2C" w:rsidP="00302AAF">
            <w:pPr>
              <w:pStyle w:val="Bezproreda"/>
              <w:jc w:val="right"/>
              <w:rPr>
                <w:rFonts w:ascii="Times New Roman" w:hAnsi="Times New Roman"/>
              </w:rPr>
            </w:pPr>
            <w:r w:rsidRPr="00362DE9">
              <w:rPr>
                <w:rFonts w:ascii="Times New Roman" w:hAnsi="Times New Roman"/>
              </w:rPr>
              <w:t xml:space="preserve">76,6% </w:t>
            </w:r>
          </w:p>
        </w:tc>
      </w:tr>
      <w:tr w:rsidR="008C3C2C" w:rsidRPr="00143C34" w:rsidTr="00302AAF">
        <w:trPr>
          <w:trHeight w:val="340"/>
        </w:trPr>
        <w:tc>
          <w:tcPr>
            <w:tcW w:w="4279"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rPr>
                <w:rFonts w:ascii="Times New Roman" w:hAnsi="Times New Roman"/>
              </w:rPr>
            </w:pPr>
            <w:r w:rsidRPr="00AF2EA2">
              <w:rPr>
                <w:rFonts w:ascii="Times New Roman" w:hAnsi="Times New Roman"/>
              </w:rPr>
              <w:t>Prihodi od upravnih i administrativnih pristojbi, pristojbi po posebnim propisima i naknada  65</w:t>
            </w: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687.000,00 </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649.882,00 </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94,6 %</w:t>
            </w:r>
          </w:p>
        </w:tc>
      </w:tr>
      <w:tr w:rsidR="008C3C2C" w:rsidRPr="00143C34" w:rsidTr="00302AAF">
        <w:trPr>
          <w:trHeight w:val="232"/>
        </w:trPr>
        <w:tc>
          <w:tcPr>
            <w:tcW w:w="4279"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rPr>
                <w:rFonts w:ascii="Times New Roman" w:hAnsi="Times New Roman"/>
              </w:rPr>
            </w:pPr>
            <w:r w:rsidRPr="00AF2EA2">
              <w:rPr>
                <w:rFonts w:ascii="Times New Roman" w:hAnsi="Times New Roman"/>
              </w:rPr>
              <w:t>Prihodi od prodaje roba i usluga</w:t>
            </w:r>
          </w:p>
        </w:tc>
        <w:tc>
          <w:tcPr>
            <w:tcW w:w="1842"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Pr>
                <w:rFonts w:ascii="Times New Roman" w:hAnsi="Times New Roman"/>
              </w:rPr>
              <w:t>0,00</w:t>
            </w:r>
            <w:r w:rsidRPr="00AF2EA2">
              <w:rPr>
                <w:rFonts w:ascii="Times New Roman" w:hAnsi="Times New Roman"/>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Pr>
                <w:rFonts w:ascii="Times New Roman" w:hAnsi="Times New Roman"/>
              </w:rPr>
              <w:t>0,00</w:t>
            </w:r>
          </w:p>
        </w:tc>
        <w:tc>
          <w:tcPr>
            <w:tcW w:w="1250" w:type="dxa"/>
            <w:tcBorders>
              <w:top w:val="single" w:sz="6" w:space="0" w:color="auto"/>
              <w:left w:val="single" w:sz="6" w:space="0" w:color="auto"/>
              <w:bottom w:val="single" w:sz="6" w:space="0" w:color="auto"/>
              <w:right w:val="single" w:sz="6" w:space="0" w:color="auto"/>
            </w:tcBorders>
            <w:vAlign w:val="center"/>
          </w:tcPr>
          <w:p w:rsidR="008C3C2C" w:rsidRPr="00AF2EA2" w:rsidRDefault="008C3C2C" w:rsidP="00302AAF">
            <w:pPr>
              <w:pStyle w:val="Bezproreda"/>
              <w:jc w:val="right"/>
              <w:rPr>
                <w:rFonts w:ascii="Times New Roman" w:hAnsi="Times New Roman"/>
              </w:rPr>
            </w:pPr>
            <w:r>
              <w:rPr>
                <w:rFonts w:ascii="Times New Roman" w:hAnsi="Times New Roman"/>
              </w:rPr>
              <w:t>0,00</w:t>
            </w:r>
            <w:r w:rsidRPr="00AF2EA2">
              <w:rPr>
                <w:rFonts w:ascii="Times New Roman" w:hAnsi="Times New Roman"/>
              </w:rPr>
              <w:t xml:space="preserve"> %</w:t>
            </w:r>
          </w:p>
        </w:tc>
      </w:tr>
      <w:tr w:rsidR="008C3C2C" w:rsidRPr="00143C34" w:rsidTr="00302AAF">
        <w:trPr>
          <w:trHeight w:val="397"/>
        </w:trPr>
        <w:tc>
          <w:tcPr>
            <w:tcW w:w="4279"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rPr>
                <w:rFonts w:ascii="Times New Roman" w:hAnsi="Times New Roman"/>
                <w:b/>
              </w:rPr>
            </w:pPr>
            <w:r w:rsidRPr="00AF2EA2">
              <w:rPr>
                <w:rFonts w:ascii="Times New Roman" w:hAnsi="Times New Roman"/>
                <w:b/>
              </w:rPr>
              <w:t>U k u p n o : 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 17.499.545,07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14.662.232,00 </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83,8% </w:t>
            </w:r>
          </w:p>
        </w:tc>
      </w:tr>
    </w:tbl>
    <w:p w:rsidR="008C3C2C" w:rsidRDefault="008C3C2C" w:rsidP="008C3C2C">
      <w:pPr>
        <w:widowControl w:val="0"/>
        <w:tabs>
          <w:tab w:val="center" w:pos="7756"/>
        </w:tabs>
        <w:autoSpaceDE w:val="0"/>
        <w:autoSpaceDN w:val="0"/>
        <w:adjustRightInd w:val="0"/>
        <w:spacing w:before="21" w:after="0" w:line="240" w:lineRule="auto"/>
        <w:rPr>
          <w:rFonts w:ascii="Times New Roman" w:hAnsi="Times New Roman"/>
          <w:sz w:val="27"/>
          <w:szCs w:val="27"/>
        </w:rPr>
      </w:pPr>
    </w:p>
    <w:p w:rsidR="008C3C2C" w:rsidRPr="00AF2EA2" w:rsidRDefault="008C3C2C" w:rsidP="008C3C2C">
      <w:pPr>
        <w:tabs>
          <w:tab w:val="left" w:pos="3825"/>
        </w:tabs>
        <w:rPr>
          <w:rFonts w:ascii="Times New Roman" w:hAnsi="Times New Roman" w:cs="Times New Roman"/>
        </w:rPr>
      </w:pPr>
      <w:r w:rsidRPr="00AF2EA2">
        <w:rPr>
          <w:rFonts w:ascii="Times New Roman" w:hAnsi="Times New Roman" w:cs="Times New Roman"/>
        </w:rPr>
        <w:t>Prihodi od poreza ostvareni su u iznosu 5.069.758,00 kn ili 0,2% manje od  ukupno planiranih prihoda od poreza u 2020. g.</w:t>
      </w:r>
    </w:p>
    <w:p w:rsidR="008C3C2C" w:rsidRPr="00143C34" w:rsidRDefault="008C3C2C" w:rsidP="008C3C2C">
      <w:pPr>
        <w:pStyle w:val="Default"/>
        <w:numPr>
          <w:ilvl w:val="0"/>
          <w:numId w:val="5"/>
        </w:numPr>
        <w:jc w:val="both"/>
        <w:rPr>
          <w:color w:val="auto"/>
          <w:sz w:val="22"/>
          <w:szCs w:val="22"/>
        </w:rPr>
      </w:pPr>
      <w:r w:rsidRPr="00143C34">
        <w:rPr>
          <w:color w:val="auto"/>
          <w:sz w:val="22"/>
          <w:szCs w:val="22"/>
        </w:rPr>
        <w:t xml:space="preserve">Prihodi od pomoći iz inozemstva i od subjekata unutar opće države ostvareni su u iznos od </w:t>
      </w:r>
      <w:r>
        <w:rPr>
          <w:color w:val="auto"/>
          <w:sz w:val="22"/>
          <w:szCs w:val="22"/>
        </w:rPr>
        <w:t>4.496.955</w:t>
      </w:r>
      <w:r w:rsidRPr="00143C34">
        <w:rPr>
          <w:color w:val="auto"/>
          <w:sz w:val="22"/>
          <w:szCs w:val="22"/>
        </w:rPr>
        <w:t xml:space="preserve">,00 kn, ili </w:t>
      </w:r>
      <w:r>
        <w:rPr>
          <w:color w:val="auto"/>
          <w:sz w:val="22"/>
          <w:szCs w:val="22"/>
        </w:rPr>
        <w:t>50,6</w:t>
      </w:r>
      <w:r w:rsidRPr="00143C34">
        <w:rPr>
          <w:color w:val="auto"/>
          <w:sz w:val="22"/>
          <w:szCs w:val="22"/>
        </w:rPr>
        <w:t xml:space="preserve"> </w:t>
      </w:r>
      <w:r>
        <w:rPr>
          <w:color w:val="auto"/>
          <w:sz w:val="22"/>
          <w:szCs w:val="22"/>
        </w:rPr>
        <w:t xml:space="preserve">više </w:t>
      </w:r>
      <w:r w:rsidRPr="00143C34">
        <w:rPr>
          <w:color w:val="auto"/>
          <w:sz w:val="22"/>
          <w:szCs w:val="22"/>
        </w:rPr>
        <w:t>od</w:t>
      </w:r>
      <w:r>
        <w:rPr>
          <w:color w:val="auto"/>
          <w:sz w:val="22"/>
          <w:szCs w:val="22"/>
        </w:rPr>
        <w:t xml:space="preserve"> </w:t>
      </w:r>
      <w:r w:rsidRPr="00143C34">
        <w:rPr>
          <w:color w:val="auto"/>
          <w:sz w:val="22"/>
          <w:szCs w:val="22"/>
        </w:rPr>
        <w:t>planiranih prihoda u 20</w:t>
      </w:r>
      <w:r>
        <w:rPr>
          <w:color w:val="auto"/>
          <w:sz w:val="22"/>
          <w:szCs w:val="22"/>
        </w:rPr>
        <w:t>20.g. (</w:t>
      </w:r>
      <w:r w:rsidRPr="00143C34">
        <w:rPr>
          <w:color w:val="auto"/>
          <w:sz w:val="22"/>
          <w:szCs w:val="22"/>
        </w:rPr>
        <w:t>odnose se na tekuće pomoći iz državnog i županijskog  proračuna, kapitalne pomoći MRR, Ministarsva branitelja, tekuće pomoći HZZ-a</w:t>
      </w:r>
      <w:r>
        <w:rPr>
          <w:color w:val="auto"/>
          <w:sz w:val="22"/>
          <w:szCs w:val="22"/>
        </w:rPr>
        <w:t xml:space="preserve"> i pomoći temeljem prijenosa EU </w:t>
      </w:r>
      <w:r w:rsidRPr="00143C34">
        <w:rPr>
          <w:color w:val="auto"/>
          <w:sz w:val="22"/>
          <w:szCs w:val="22"/>
        </w:rPr>
        <w:t>sred</w:t>
      </w:r>
      <w:r>
        <w:rPr>
          <w:color w:val="auto"/>
          <w:sz w:val="22"/>
          <w:szCs w:val="22"/>
        </w:rPr>
        <w:t>s</w:t>
      </w:r>
      <w:r w:rsidRPr="00143C34">
        <w:rPr>
          <w:color w:val="auto"/>
          <w:sz w:val="22"/>
          <w:szCs w:val="22"/>
        </w:rPr>
        <w:t xml:space="preserve">tava </w:t>
      </w:r>
    </w:p>
    <w:p w:rsidR="008C3C2C" w:rsidRPr="00143C34" w:rsidRDefault="008C3C2C" w:rsidP="008C3C2C">
      <w:pPr>
        <w:pStyle w:val="Default"/>
        <w:numPr>
          <w:ilvl w:val="0"/>
          <w:numId w:val="5"/>
        </w:numPr>
        <w:jc w:val="both"/>
        <w:rPr>
          <w:color w:val="auto"/>
          <w:sz w:val="22"/>
          <w:szCs w:val="22"/>
        </w:rPr>
      </w:pPr>
      <w:r w:rsidRPr="00143C34">
        <w:rPr>
          <w:color w:val="auto"/>
          <w:sz w:val="22"/>
          <w:szCs w:val="22"/>
        </w:rPr>
        <w:t>Prihodi od imovine  realizirani su u iznosu 4.</w:t>
      </w:r>
      <w:r>
        <w:rPr>
          <w:color w:val="auto"/>
          <w:sz w:val="22"/>
          <w:szCs w:val="22"/>
        </w:rPr>
        <w:t>437.621,00</w:t>
      </w:r>
      <w:r w:rsidRPr="00143C34">
        <w:rPr>
          <w:color w:val="auto"/>
          <w:sz w:val="22"/>
          <w:szCs w:val="22"/>
        </w:rPr>
        <w:t xml:space="preserve">kn, ili </w:t>
      </w:r>
      <w:r>
        <w:rPr>
          <w:color w:val="auto"/>
          <w:sz w:val="22"/>
          <w:szCs w:val="22"/>
        </w:rPr>
        <w:t>76,6</w:t>
      </w:r>
      <w:r w:rsidRPr="00143C34">
        <w:rPr>
          <w:color w:val="auto"/>
          <w:sz w:val="22"/>
          <w:szCs w:val="22"/>
        </w:rPr>
        <w:t>%  od  planiranih prihoda. Najznačajniji udio prihoda u ovoj skupini su prihodi od zakupa državnog poljoprivrednog zemljišta, koncesijske naknade, pravo služnosti, kamata,</w:t>
      </w:r>
      <w:r>
        <w:rPr>
          <w:color w:val="auto"/>
          <w:sz w:val="22"/>
          <w:szCs w:val="22"/>
        </w:rPr>
        <w:t>komunalna naknada,</w:t>
      </w:r>
      <w:r w:rsidRPr="00143C34">
        <w:rPr>
          <w:color w:val="auto"/>
          <w:sz w:val="22"/>
          <w:szCs w:val="22"/>
        </w:rPr>
        <w:t xml:space="preserve"> naknada za iskorištavanje rudne rente </w:t>
      </w:r>
    </w:p>
    <w:p w:rsidR="008C3C2C" w:rsidRDefault="008C3C2C" w:rsidP="008C3C2C">
      <w:pPr>
        <w:pStyle w:val="Default"/>
        <w:numPr>
          <w:ilvl w:val="0"/>
          <w:numId w:val="5"/>
        </w:numPr>
        <w:jc w:val="both"/>
        <w:rPr>
          <w:color w:val="auto"/>
          <w:sz w:val="22"/>
          <w:szCs w:val="22"/>
        </w:rPr>
      </w:pPr>
      <w:r w:rsidRPr="00481BD7">
        <w:rPr>
          <w:color w:val="auto"/>
          <w:sz w:val="22"/>
          <w:szCs w:val="22"/>
        </w:rPr>
        <w:t>Prihodi od administrativnih pristojbi i po posebnih propisima realizirani su u iznosu 649.882,00 kn, 94,6% od planiranih prihoda. Najznačajniji udio prihoda u ovoj skupini su prihodi od komunalne naknade, šumskog doprinosa, grobne naknade, komunalnog doprinosa i vodnog doprinosa.</w:t>
      </w:r>
    </w:p>
    <w:p w:rsidR="008C3C2C" w:rsidRPr="00481BD7" w:rsidRDefault="008C3C2C" w:rsidP="008C3C2C">
      <w:pPr>
        <w:pStyle w:val="Default"/>
        <w:numPr>
          <w:ilvl w:val="0"/>
          <w:numId w:val="5"/>
        </w:numPr>
        <w:jc w:val="both"/>
        <w:rPr>
          <w:color w:val="auto"/>
          <w:sz w:val="22"/>
          <w:szCs w:val="22"/>
        </w:rPr>
      </w:pPr>
      <w:r w:rsidRPr="00481BD7">
        <w:rPr>
          <w:color w:val="auto"/>
          <w:sz w:val="22"/>
          <w:szCs w:val="22"/>
        </w:rPr>
        <w:t>Ostali prihodi iznose 8.000,00 kn, a odnose se na donacije.</w:t>
      </w:r>
    </w:p>
    <w:p w:rsidR="008C3C2C" w:rsidRPr="00143C34" w:rsidRDefault="008C3C2C" w:rsidP="008C3C2C">
      <w:pPr>
        <w:pStyle w:val="Default"/>
        <w:ind w:left="720"/>
        <w:jc w:val="both"/>
        <w:rPr>
          <w:color w:val="auto"/>
          <w:sz w:val="22"/>
          <w:szCs w:val="22"/>
        </w:rPr>
      </w:pPr>
    </w:p>
    <w:p w:rsidR="008C3C2C" w:rsidRPr="00143C34" w:rsidRDefault="008C3C2C" w:rsidP="008C3C2C">
      <w:pPr>
        <w:pStyle w:val="Default"/>
        <w:ind w:left="720"/>
        <w:jc w:val="both"/>
        <w:rPr>
          <w:color w:val="auto"/>
          <w:sz w:val="22"/>
          <w:szCs w:val="22"/>
        </w:rPr>
      </w:pPr>
    </w:p>
    <w:p w:rsidR="008C3C2C" w:rsidRPr="00143C34" w:rsidRDefault="008C3C2C" w:rsidP="008C3C2C">
      <w:pPr>
        <w:pStyle w:val="Default"/>
        <w:jc w:val="both"/>
        <w:rPr>
          <w:b/>
          <w:bCs/>
          <w:i/>
          <w:iCs/>
          <w:color w:val="auto"/>
          <w:sz w:val="22"/>
          <w:szCs w:val="22"/>
        </w:rPr>
      </w:pPr>
      <w:r w:rsidRPr="00143C34">
        <w:rPr>
          <w:b/>
          <w:color w:val="auto"/>
          <w:sz w:val="22"/>
          <w:szCs w:val="22"/>
        </w:rPr>
        <w:t>6.2.</w:t>
      </w:r>
      <w:r w:rsidRPr="00143C34">
        <w:rPr>
          <w:b/>
          <w:bCs/>
          <w:i/>
          <w:iCs/>
          <w:color w:val="auto"/>
          <w:sz w:val="22"/>
          <w:szCs w:val="22"/>
        </w:rPr>
        <w:t xml:space="preserve"> OBRAZLOŽENJE OSTVARENJA RASHODA I IZDATAKA</w:t>
      </w:r>
    </w:p>
    <w:p w:rsidR="008C3C2C" w:rsidRPr="00143C34" w:rsidRDefault="008C3C2C" w:rsidP="008C3C2C">
      <w:pPr>
        <w:pStyle w:val="Default"/>
        <w:jc w:val="both"/>
        <w:rPr>
          <w:bCs/>
          <w:i/>
          <w:iCs/>
          <w:color w:val="auto"/>
          <w:sz w:val="22"/>
          <w:szCs w:val="22"/>
        </w:rPr>
      </w:pPr>
    </w:p>
    <w:p w:rsidR="008C3C2C" w:rsidRDefault="008C3C2C" w:rsidP="008C3C2C">
      <w:pPr>
        <w:pStyle w:val="Default"/>
        <w:jc w:val="both"/>
        <w:rPr>
          <w:bCs/>
          <w:color w:val="auto"/>
          <w:sz w:val="22"/>
          <w:szCs w:val="22"/>
        </w:rPr>
      </w:pPr>
    </w:p>
    <w:p w:rsidR="008C3C2C" w:rsidRPr="00143C34" w:rsidRDefault="008C3C2C" w:rsidP="008C3C2C">
      <w:pPr>
        <w:pStyle w:val="Default"/>
        <w:jc w:val="both"/>
        <w:rPr>
          <w:bCs/>
          <w:color w:val="auto"/>
          <w:sz w:val="22"/>
          <w:szCs w:val="22"/>
        </w:rPr>
      </w:pPr>
      <w:r w:rsidRPr="00143C34">
        <w:rPr>
          <w:bCs/>
          <w:color w:val="auto"/>
          <w:sz w:val="22"/>
          <w:szCs w:val="22"/>
        </w:rPr>
        <w:t xml:space="preserve">Ukupni proračunski rashodi i izdaci </w:t>
      </w:r>
      <w:r w:rsidRPr="00143C34">
        <w:rPr>
          <w:color w:val="auto"/>
          <w:sz w:val="22"/>
          <w:szCs w:val="22"/>
        </w:rPr>
        <w:t>u  20</w:t>
      </w:r>
      <w:r>
        <w:rPr>
          <w:color w:val="auto"/>
          <w:sz w:val="22"/>
          <w:szCs w:val="22"/>
        </w:rPr>
        <w:t>20</w:t>
      </w:r>
      <w:r w:rsidRPr="00143C34">
        <w:rPr>
          <w:color w:val="auto"/>
          <w:sz w:val="22"/>
          <w:szCs w:val="22"/>
        </w:rPr>
        <w:t>. g</w:t>
      </w:r>
      <w:r>
        <w:rPr>
          <w:color w:val="auto"/>
          <w:sz w:val="22"/>
          <w:szCs w:val="22"/>
        </w:rPr>
        <w:t>.</w:t>
      </w:r>
      <w:r w:rsidRPr="00143C34">
        <w:rPr>
          <w:bCs/>
          <w:color w:val="auto"/>
          <w:sz w:val="22"/>
          <w:szCs w:val="22"/>
        </w:rPr>
        <w:t xml:space="preserve"> izvršeni su u iznosu od </w:t>
      </w:r>
      <w:r>
        <w:rPr>
          <w:color w:val="auto"/>
          <w:sz w:val="22"/>
          <w:szCs w:val="22"/>
        </w:rPr>
        <w:t>15.397.852,00</w:t>
      </w:r>
      <w:r w:rsidRPr="00143C34">
        <w:rPr>
          <w:color w:val="auto"/>
          <w:sz w:val="22"/>
          <w:szCs w:val="22"/>
        </w:rPr>
        <w:t>,00</w:t>
      </w:r>
      <w:r>
        <w:rPr>
          <w:bCs/>
          <w:color w:val="auto"/>
          <w:sz w:val="22"/>
          <w:szCs w:val="22"/>
        </w:rPr>
        <w:t xml:space="preserve"> kn.</w:t>
      </w:r>
    </w:p>
    <w:p w:rsidR="008C3C2C" w:rsidRPr="00143C34" w:rsidRDefault="008C3C2C" w:rsidP="008C3C2C">
      <w:pPr>
        <w:pStyle w:val="Default"/>
        <w:jc w:val="both"/>
        <w:rPr>
          <w:bCs/>
          <w:color w:val="auto"/>
          <w:sz w:val="22"/>
          <w:szCs w:val="22"/>
        </w:rPr>
      </w:pPr>
    </w:p>
    <w:p w:rsidR="008C3C2C" w:rsidRPr="00143C34" w:rsidRDefault="008C3C2C" w:rsidP="008C3C2C">
      <w:pPr>
        <w:pStyle w:val="Default"/>
        <w:jc w:val="both"/>
        <w:rPr>
          <w:bCs/>
          <w:color w:val="auto"/>
          <w:sz w:val="22"/>
          <w:szCs w:val="22"/>
        </w:rPr>
      </w:pPr>
      <w:r w:rsidRPr="00143C34">
        <w:rPr>
          <w:bCs/>
          <w:color w:val="auto"/>
          <w:sz w:val="22"/>
          <w:szCs w:val="22"/>
        </w:rPr>
        <w:t>Prema ekonomskoj klasifikaciji rashodi i izdaci su:</w:t>
      </w:r>
    </w:p>
    <w:p w:rsidR="008C3C2C" w:rsidRPr="00143C34" w:rsidRDefault="008C3C2C" w:rsidP="008C3C2C">
      <w:pPr>
        <w:pStyle w:val="Default"/>
        <w:jc w:val="both"/>
        <w:rPr>
          <w:bCs/>
          <w:color w:val="auto"/>
          <w:sz w:val="22"/>
          <w:szCs w:val="22"/>
        </w:rPr>
      </w:pPr>
    </w:p>
    <w:p w:rsidR="008C3C2C" w:rsidRPr="00143C34" w:rsidRDefault="008C3C2C" w:rsidP="008C3C2C">
      <w:pPr>
        <w:pStyle w:val="Default"/>
        <w:numPr>
          <w:ilvl w:val="0"/>
          <w:numId w:val="6"/>
        </w:numPr>
        <w:jc w:val="both"/>
        <w:rPr>
          <w:bCs/>
          <w:color w:val="auto"/>
          <w:sz w:val="22"/>
          <w:szCs w:val="22"/>
        </w:rPr>
      </w:pPr>
      <w:r w:rsidRPr="00143C34">
        <w:rPr>
          <w:bCs/>
          <w:color w:val="auto"/>
          <w:sz w:val="22"/>
          <w:szCs w:val="22"/>
        </w:rPr>
        <w:t>RASHODI POSLOVANJA</w:t>
      </w:r>
    </w:p>
    <w:p w:rsidR="008C3C2C" w:rsidRPr="00DD0852" w:rsidRDefault="008C3C2C" w:rsidP="008C3C2C">
      <w:pPr>
        <w:pStyle w:val="Default"/>
        <w:numPr>
          <w:ilvl w:val="0"/>
          <w:numId w:val="6"/>
        </w:numPr>
        <w:jc w:val="both"/>
        <w:rPr>
          <w:bCs/>
          <w:color w:val="auto"/>
          <w:sz w:val="22"/>
          <w:szCs w:val="22"/>
        </w:rPr>
      </w:pPr>
      <w:r w:rsidRPr="00143C34">
        <w:rPr>
          <w:bCs/>
          <w:color w:val="auto"/>
          <w:sz w:val="22"/>
          <w:szCs w:val="22"/>
        </w:rPr>
        <w:t>RASHODI ZA NABAVU NEFINANCIJSKE IMOV</w:t>
      </w:r>
      <w:r>
        <w:rPr>
          <w:bCs/>
          <w:color w:val="auto"/>
          <w:sz w:val="22"/>
          <w:szCs w:val="22"/>
        </w:rPr>
        <w:t>INE</w:t>
      </w:r>
    </w:p>
    <w:p w:rsidR="008C3C2C" w:rsidRPr="00950471" w:rsidRDefault="008C3C2C" w:rsidP="008C3C2C">
      <w:pPr>
        <w:pStyle w:val="Default"/>
        <w:jc w:val="both"/>
        <w:rPr>
          <w:iCs/>
          <w:color w:val="auto"/>
          <w:sz w:val="22"/>
          <w:szCs w:val="22"/>
        </w:rPr>
      </w:pPr>
    </w:p>
    <w:p w:rsidR="008C3C2C" w:rsidRPr="00950471" w:rsidRDefault="008C3C2C" w:rsidP="008C3C2C">
      <w:pPr>
        <w:pStyle w:val="Default"/>
        <w:jc w:val="both"/>
        <w:rPr>
          <w:iCs/>
          <w:color w:val="auto"/>
          <w:sz w:val="22"/>
          <w:szCs w:val="22"/>
        </w:rPr>
      </w:pPr>
    </w:p>
    <w:p w:rsidR="008C3C2C" w:rsidRDefault="008C3C2C" w:rsidP="008C3C2C">
      <w:pPr>
        <w:pStyle w:val="Default"/>
        <w:jc w:val="both"/>
        <w:rPr>
          <w:i/>
          <w:iCs/>
          <w:color w:val="auto"/>
          <w:sz w:val="22"/>
          <w:szCs w:val="22"/>
          <w:u w:val="single"/>
        </w:rPr>
      </w:pPr>
    </w:p>
    <w:p w:rsidR="008C3C2C" w:rsidRDefault="008C3C2C" w:rsidP="008C3C2C">
      <w:pPr>
        <w:pStyle w:val="Default"/>
        <w:jc w:val="both"/>
        <w:rPr>
          <w:i/>
          <w:iCs/>
          <w:color w:val="auto"/>
          <w:sz w:val="22"/>
          <w:szCs w:val="22"/>
          <w:u w:val="single"/>
        </w:rPr>
      </w:pPr>
    </w:p>
    <w:p w:rsidR="008C3C2C" w:rsidRPr="00143C34" w:rsidRDefault="008C3C2C" w:rsidP="008C3C2C">
      <w:pPr>
        <w:pStyle w:val="Default"/>
        <w:jc w:val="both"/>
        <w:rPr>
          <w:i/>
          <w:iCs/>
          <w:color w:val="auto"/>
          <w:sz w:val="22"/>
          <w:szCs w:val="22"/>
          <w:u w:val="single"/>
        </w:rPr>
      </w:pPr>
      <w:r w:rsidRPr="00143C34">
        <w:rPr>
          <w:i/>
          <w:iCs/>
          <w:color w:val="auto"/>
          <w:sz w:val="22"/>
          <w:szCs w:val="22"/>
          <w:u w:val="single"/>
        </w:rPr>
        <w:lastRenderedPageBreak/>
        <w:t>RASHODI POSLOVANJA</w:t>
      </w:r>
    </w:p>
    <w:p w:rsidR="008C3C2C" w:rsidRPr="00143C34" w:rsidRDefault="008C3C2C" w:rsidP="008C3C2C">
      <w:pPr>
        <w:pStyle w:val="Default"/>
        <w:jc w:val="both"/>
        <w:rPr>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28"/>
        <w:gridCol w:w="1829"/>
        <w:gridCol w:w="1275"/>
      </w:tblGrid>
      <w:tr w:rsidR="008C3C2C" w:rsidRPr="00143C34" w:rsidTr="00302AAF">
        <w:trPr>
          <w:trHeight w:val="834"/>
        </w:trPr>
        <w:tc>
          <w:tcPr>
            <w:tcW w:w="4140" w:type="dxa"/>
            <w:shd w:val="clear" w:color="auto" w:fill="FFFFFF"/>
            <w:vAlign w:val="center"/>
          </w:tcPr>
          <w:p w:rsidR="008C3C2C" w:rsidRPr="00143C34"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ascii="Times New Roman" w:hAnsi="Times New Roman" w:cs="Times New Roman"/>
              </w:rPr>
            </w:pPr>
            <w:r w:rsidRPr="00143C34">
              <w:rPr>
                <w:rFonts w:ascii="Times New Roman" w:hAnsi="Times New Roman" w:cs="Times New Roman"/>
              </w:rPr>
              <w:t>RASHODI POSLOVANJA</w:t>
            </w:r>
          </w:p>
        </w:tc>
        <w:tc>
          <w:tcPr>
            <w:tcW w:w="1828" w:type="dxa"/>
            <w:shd w:val="clear" w:color="auto" w:fill="FFFFFF"/>
            <w:vAlign w:val="center"/>
          </w:tcPr>
          <w:p w:rsidR="008C3C2C" w:rsidRPr="00143C34"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Times New Roman" w:hAnsi="Times New Roman" w:cs="Times New Roman"/>
              </w:rPr>
            </w:pPr>
            <w:r w:rsidRPr="00143C34">
              <w:rPr>
                <w:rFonts w:ascii="Times New Roman" w:hAnsi="Times New Roman" w:cs="Times New Roman"/>
              </w:rPr>
              <w:t>Plan</w:t>
            </w:r>
            <w:r>
              <w:rPr>
                <w:rFonts w:ascii="Times New Roman" w:hAnsi="Times New Roman" w:cs="Times New Roman"/>
              </w:rPr>
              <w:t xml:space="preserve"> </w:t>
            </w:r>
            <w:r w:rsidRPr="00143C34">
              <w:rPr>
                <w:rFonts w:ascii="Times New Roman" w:hAnsi="Times New Roman" w:cs="Times New Roman"/>
              </w:rPr>
              <w:t>20</w:t>
            </w:r>
            <w:r>
              <w:rPr>
                <w:rFonts w:ascii="Times New Roman" w:hAnsi="Times New Roman" w:cs="Times New Roman"/>
              </w:rPr>
              <w:t>20</w:t>
            </w:r>
            <w:r w:rsidRPr="00143C34">
              <w:rPr>
                <w:rFonts w:ascii="Times New Roman" w:hAnsi="Times New Roman" w:cs="Times New Roman"/>
              </w:rPr>
              <w:t>.</w:t>
            </w:r>
          </w:p>
        </w:tc>
        <w:tc>
          <w:tcPr>
            <w:tcW w:w="1829" w:type="dxa"/>
            <w:shd w:val="clear" w:color="auto" w:fill="FFFFFF"/>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Izvršenje</w:t>
            </w:r>
          </w:p>
          <w:p w:rsidR="008C3C2C" w:rsidRPr="00143C34" w:rsidRDefault="008C3C2C" w:rsidP="00302AAF">
            <w:pPr>
              <w:pStyle w:val="Bezproreda"/>
              <w:jc w:val="center"/>
            </w:pPr>
            <w:r w:rsidRPr="00AF2EA2">
              <w:rPr>
                <w:rFonts w:ascii="Times New Roman" w:hAnsi="Times New Roman"/>
              </w:rPr>
              <w:t>1.1 – 31.12. 2020.</w:t>
            </w:r>
          </w:p>
        </w:tc>
        <w:tc>
          <w:tcPr>
            <w:tcW w:w="1275" w:type="dxa"/>
            <w:shd w:val="clear" w:color="auto" w:fill="FFFFFF"/>
            <w:vAlign w:val="center"/>
          </w:tcPr>
          <w:p w:rsidR="008C3C2C" w:rsidRPr="00143C34"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Times New Roman" w:hAnsi="Times New Roman" w:cs="Times New Roman"/>
              </w:rPr>
            </w:pPr>
            <w:r w:rsidRPr="00143C34">
              <w:rPr>
                <w:rFonts w:ascii="Times New Roman" w:hAnsi="Times New Roman" w:cs="Times New Roman"/>
              </w:rPr>
              <w:t>Indeks</w:t>
            </w:r>
            <w:r>
              <w:rPr>
                <w:rFonts w:ascii="Times New Roman" w:hAnsi="Times New Roman" w:cs="Times New Roman"/>
              </w:rPr>
              <w:t xml:space="preserve"> </w:t>
            </w:r>
            <w:r w:rsidRPr="00143C34">
              <w:rPr>
                <w:rFonts w:ascii="Times New Roman" w:hAnsi="Times New Roman" w:cs="Times New Roman"/>
              </w:rPr>
              <w:t>2/1</w:t>
            </w:r>
          </w:p>
        </w:tc>
      </w:tr>
      <w:tr w:rsidR="008C3C2C" w:rsidRPr="00143C34" w:rsidTr="00302AAF">
        <w:trPr>
          <w:trHeight w:val="340"/>
        </w:trPr>
        <w:tc>
          <w:tcPr>
            <w:tcW w:w="4140" w:type="dxa"/>
            <w:vAlign w:val="center"/>
          </w:tcPr>
          <w:p w:rsidR="008C3C2C" w:rsidRPr="00AF2EA2" w:rsidRDefault="008C3C2C" w:rsidP="00302AAF">
            <w:pPr>
              <w:pStyle w:val="Bezproreda"/>
              <w:jc w:val="center"/>
              <w:rPr>
                <w:rFonts w:ascii="Times New Roman" w:hAnsi="Times New Roman"/>
              </w:rPr>
            </w:pPr>
          </w:p>
        </w:tc>
        <w:tc>
          <w:tcPr>
            <w:tcW w:w="1828"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1</w:t>
            </w:r>
          </w:p>
        </w:tc>
        <w:tc>
          <w:tcPr>
            <w:tcW w:w="1829"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2</w:t>
            </w:r>
          </w:p>
        </w:tc>
        <w:tc>
          <w:tcPr>
            <w:tcW w:w="1275"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3</w:t>
            </w:r>
          </w:p>
        </w:tc>
      </w:tr>
      <w:tr w:rsidR="008C3C2C" w:rsidRPr="00AF2EA2"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Rashodi za zaposlene 31</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2.809.236,00 </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2.590.995,00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92,00%</w:t>
            </w:r>
          </w:p>
        </w:tc>
      </w:tr>
      <w:tr w:rsidR="008C3C2C" w:rsidRPr="00AF2EA2"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Materijalni rashodi 32</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3.610.066,00</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3.660.403,00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101,00%</w:t>
            </w:r>
          </w:p>
        </w:tc>
      </w:tr>
      <w:tr w:rsidR="008C3C2C" w:rsidRPr="00AF2EA2"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Financijski rashodi 34</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  70.000,00</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68.067,00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97,00 %</w:t>
            </w:r>
          </w:p>
        </w:tc>
      </w:tr>
      <w:tr w:rsidR="008C3C2C" w:rsidRPr="00AF2EA2" w:rsidTr="00302AAF">
        <w:trPr>
          <w:trHeight w:val="631"/>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Pomoći dane u inozemstvo i unutar opće države 36</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    505.000,00</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394.930,00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78,00 %</w:t>
            </w:r>
          </w:p>
        </w:tc>
      </w:tr>
      <w:tr w:rsidR="008C3C2C" w:rsidRPr="00AF2EA2"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Naknade građanima i kućanstvima 37</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1.000.000,00</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808.988,00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80,00% </w:t>
            </w:r>
          </w:p>
        </w:tc>
      </w:tr>
      <w:tr w:rsidR="008C3C2C" w:rsidRPr="00AF2EA2"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Ostali rashodi 38</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1.131.851,00</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981.176,00</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86,00% </w:t>
            </w:r>
          </w:p>
        </w:tc>
      </w:tr>
      <w:tr w:rsidR="008C3C2C" w:rsidRPr="00AF2EA2" w:rsidTr="00302AAF">
        <w:trPr>
          <w:trHeight w:val="454"/>
        </w:trPr>
        <w:tc>
          <w:tcPr>
            <w:tcW w:w="4140" w:type="dxa"/>
            <w:shd w:val="clear" w:color="auto" w:fill="FFFFFF"/>
            <w:vAlign w:val="center"/>
          </w:tcPr>
          <w:p w:rsidR="008C3C2C" w:rsidRPr="00AF2EA2" w:rsidRDefault="008C3C2C" w:rsidP="00302AAF">
            <w:pPr>
              <w:pStyle w:val="Bezproreda"/>
              <w:rPr>
                <w:rFonts w:ascii="Times New Roman" w:hAnsi="Times New Roman"/>
                <w:b/>
              </w:rPr>
            </w:pPr>
            <w:r w:rsidRPr="00AF2EA2">
              <w:rPr>
                <w:rFonts w:ascii="Times New Roman" w:hAnsi="Times New Roman"/>
                <w:b/>
              </w:rPr>
              <w:t>U k u p n o:  3</w:t>
            </w:r>
          </w:p>
        </w:tc>
        <w:tc>
          <w:tcPr>
            <w:tcW w:w="1828"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9.546.153,00</w:t>
            </w:r>
          </w:p>
        </w:tc>
        <w:tc>
          <w:tcPr>
            <w:tcW w:w="1829"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8.792.059,00</w:t>
            </w:r>
          </w:p>
        </w:tc>
        <w:tc>
          <w:tcPr>
            <w:tcW w:w="1275"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92,00% </w:t>
            </w:r>
          </w:p>
        </w:tc>
      </w:tr>
    </w:tbl>
    <w:p w:rsidR="008C3C2C" w:rsidRPr="00143C34" w:rsidRDefault="008C3C2C" w:rsidP="008C3C2C">
      <w:pPr>
        <w:pStyle w:val="Default"/>
        <w:jc w:val="both"/>
        <w:rPr>
          <w:color w:val="auto"/>
          <w:sz w:val="22"/>
          <w:szCs w:val="22"/>
        </w:rPr>
      </w:pPr>
    </w:p>
    <w:p w:rsidR="008C3C2C" w:rsidRDefault="008C3C2C" w:rsidP="008C3C2C">
      <w:pPr>
        <w:pStyle w:val="Default"/>
        <w:numPr>
          <w:ilvl w:val="0"/>
          <w:numId w:val="7"/>
        </w:numPr>
        <w:jc w:val="both"/>
        <w:rPr>
          <w:color w:val="auto"/>
          <w:sz w:val="22"/>
          <w:szCs w:val="22"/>
        </w:rPr>
      </w:pPr>
      <w:r w:rsidRPr="0083559B">
        <w:rPr>
          <w:color w:val="auto"/>
          <w:sz w:val="22"/>
          <w:szCs w:val="22"/>
        </w:rPr>
        <w:t>Rashodi za zaposlene izvršeni su u iznosu od 2.590.995,00 kn, a odnosi se na rashode za bruto plaće uposlenih dužnosnika, djelatnika JUO, djelatnika javnih radova i djelatnika Projekta Zaželi,djelatnika projekta Sudjeluj i djelatnike projekta Competence NET.</w:t>
      </w:r>
    </w:p>
    <w:p w:rsidR="008C3C2C" w:rsidRPr="0083559B" w:rsidRDefault="008C3C2C" w:rsidP="008C3C2C">
      <w:pPr>
        <w:pStyle w:val="Default"/>
        <w:numPr>
          <w:ilvl w:val="0"/>
          <w:numId w:val="7"/>
        </w:numPr>
        <w:jc w:val="both"/>
        <w:rPr>
          <w:color w:val="auto"/>
          <w:sz w:val="22"/>
          <w:szCs w:val="22"/>
        </w:rPr>
      </w:pPr>
      <w:r w:rsidRPr="0083559B">
        <w:rPr>
          <w:color w:val="auto"/>
          <w:sz w:val="22"/>
          <w:szCs w:val="22"/>
        </w:rPr>
        <w:t xml:space="preserve">Materijalni rashodi izvršeni su u iznosu od 3.660.403,00 kn ili 101,00% čine ih naknade troškova zaposlenih, rashodi za materijal i energiju, telefonske usluge, rashodi za usluge održavanja postrojenja i opreme, naknade predstavničkim tijelima  </w:t>
      </w:r>
    </w:p>
    <w:p w:rsidR="008C3C2C" w:rsidRPr="00362D62" w:rsidRDefault="008C3C2C" w:rsidP="008C3C2C">
      <w:pPr>
        <w:pStyle w:val="Default"/>
        <w:numPr>
          <w:ilvl w:val="0"/>
          <w:numId w:val="7"/>
        </w:numPr>
        <w:jc w:val="both"/>
        <w:rPr>
          <w:color w:val="FF0000"/>
          <w:sz w:val="22"/>
          <w:szCs w:val="22"/>
        </w:rPr>
      </w:pPr>
      <w:r w:rsidRPr="00077C96">
        <w:rPr>
          <w:color w:val="auto"/>
          <w:sz w:val="22"/>
          <w:szCs w:val="22"/>
        </w:rPr>
        <w:t>Financijski rashodi izvršeni su iznosu 68.067,</w:t>
      </w:r>
      <w:r w:rsidRPr="00E03A08">
        <w:rPr>
          <w:color w:val="auto"/>
          <w:sz w:val="22"/>
          <w:szCs w:val="22"/>
        </w:rPr>
        <w:t>00 kn ili 97,00</w:t>
      </w:r>
      <w:r w:rsidRPr="00E03A08">
        <w:rPr>
          <w:i/>
          <w:iCs/>
          <w:color w:val="auto"/>
          <w:sz w:val="22"/>
          <w:szCs w:val="22"/>
        </w:rPr>
        <w:t>% u odnosu na planirano</w:t>
      </w:r>
      <w:r w:rsidRPr="00E03A08">
        <w:rPr>
          <w:i/>
          <w:iCs/>
          <w:color w:val="FF0000"/>
          <w:sz w:val="22"/>
          <w:szCs w:val="22"/>
        </w:rPr>
        <w:t xml:space="preserve">. </w:t>
      </w:r>
      <w:r w:rsidRPr="00E03A08">
        <w:rPr>
          <w:i/>
          <w:iCs/>
          <w:color w:val="auto"/>
          <w:sz w:val="22"/>
          <w:szCs w:val="22"/>
        </w:rPr>
        <w:t>Ovaj rashod čine bankarske usluge, usluge platnog prometa i izdvaja</w:t>
      </w:r>
      <w:r w:rsidRPr="00077C96">
        <w:rPr>
          <w:color w:val="auto"/>
          <w:sz w:val="22"/>
          <w:szCs w:val="22"/>
        </w:rPr>
        <w:t>nje 5% od poreznih prihoda</w:t>
      </w:r>
      <w:r w:rsidRPr="00362D62">
        <w:rPr>
          <w:color w:val="FF0000"/>
          <w:sz w:val="22"/>
          <w:szCs w:val="22"/>
        </w:rPr>
        <w:t>.</w:t>
      </w:r>
    </w:p>
    <w:p w:rsidR="008C3C2C" w:rsidRPr="00362D62" w:rsidRDefault="008C3C2C" w:rsidP="008C3C2C">
      <w:pPr>
        <w:pStyle w:val="Default"/>
        <w:numPr>
          <w:ilvl w:val="0"/>
          <w:numId w:val="7"/>
        </w:numPr>
        <w:jc w:val="both"/>
        <w:rPr>
          <w:color w:val="FF0000"/>
          <w:sz w:val="22"/>
          <w:szCs w:val="22"/>
        </w:rPr>
      </w:pPr>
      <w:r w:rsidRPr="00077C96">
        <w:rPr>
          <w:color w:val="auto"/>
        </w:rPr>
        <w:t xml:space="preserve">Pomoći dane u inozemstvo i unutar opće države  realizirane su u iznosu 394.930,00 </w:t>
      </w:r>
      <w:r w:rsidRPr="00E03A08">
        <w:rPr>
          <w:color w:val="auto"/>
        </w:rPr>
        <w:t xml:space="preserve">kn ili 78,00% </w:t>
      </w:r>
      <w:r w:rsidRPr="00077C96">
        <w:rPr>
          <w:color w:val="auto"/>
        </w:rPr>
        <w:t>odnose se na sufinanciranje plaća za djelatnike vrtića koji je proračunski korisnik Grada Iloka</w:t>
      </w:r>
      <w:r w:rsidRPr="00362D62">
        <w:rPr>
          <w:color w:val="FF0000"/>
        </w:rPr>
        <w:t>.</w:t>
      </w:r>
    </w:p>
    <w:p w:rsidR="008C3C2C" w:rsidRPr="00077C96" w:rsidRDefault="008C3C2C" w:rsidP="008C3C2C">
      <w:pPr>
        <w:pStyle w:val="Default"/>
        <w:numPr>
          <w:ilvl w:val="0"/>
          <w:numId w:val="7"/>
        </w:numPr>
        <w:jc w:val="both"/>
        <w:rPr>
          <w:color w:val="auto"/>
          <w:sz w:val="22"/>
          <w:szCs w:val="22"/>
        </w:rPr>
      </w:pPr>
      <w:r w:rsidRPr="00077C96">
        <w:rPr>
          <w:color w:val="auto"/>
          <w:sz w:val="22"/>
          <w:szCs w:val="22"/>
        </w:rPr>
        <w:t xml:space="preserve">Naknade građanima i kućanstvima na temelju osiguranja i druge naknade realizirane su u iznosu </w:t>
      </w:r>
      <w:r>
        <w:rPr>
          <w:color w:val="auto"/>
          <w:sz w:val="22"/>
          <w:szCs w:val="22"/>
        </w:rPr>
        <w:t>808.988</w:t>
      </w:r>
      <w:r w:rsidRPr="00077C96">
        <w:rPr>
          <w:color w:val="auto"/>
          <w:sz w:val="22"/>
          <w:szCs w:val="22"/>
        </w:rPr>
        <w:t xml:space="preserve">,00 </w:t>
      </w:r>
      <w:r w:rsidRPr="00E03A08">
        <w:rPr>
          <w:color w:val="auto"/>
          <w:sz w:val="22"/>
          <w:szCs w:val="22"/>
        </w:rPr>
        <w:t xml:space="preserve">kn ili  80,00%. </w:t>
      </w:r>
      <w:r w:rsidRPr="00077C96">
        <w:rPr>
          <w:color w:val="auto"/>
          <w:sz w:val="22"/>
          <w:szCs w:val="22"/>
        </w:rPr>
        <w:t>Najveći dio sredstava odnose se na sufinanciranje cijene karata za prijevoza srednjoškolaca, troškove stanovanja, naknade za svako novorođeno dijete, jednokratne pomoći, paketiće za djecu od jedne godine života do završetka osnovne škole povodom Božičnih blagdana, prijenos vjerskim organizacijama(crkvama , 2 katoličke i jedna pravoslavna), gorska služba, Crveni križ, DVD-u,civilna zaštita, prijenos udrugama za rad</w:t>
      </w:r>
      <w:r>
        <w:rPr>
          <w:color w:val="auto"/>
          <w:sz w:val="22"/>
          <w:szCs w:val="22"/>
        </w:rPr>
        <w:t>, stipendije.</w:t>
      </w:r>
    </w:p>
    <w:p w:rsidR="008C3C2C" w:rsidRDefault="008C3C2C" w:rsidP="008C3C2C">
      <w:pPr>
        <w:pStyle w:val="Default"/>
        <w:jc w:val="both"/>
        <w:rPr>
          <w:bCs/>
          <w:i/>
          <w:iCs/>
          <w:color w:val="000000" w:themeColor="text1"/>
          <w:sz w:val="22"/>
          <w:szCs w:val="22"/>
        </w:rPr>
      </w:pPr>
      <w:r w:rsidRPr="00362D62">
        <w:rPr>
          <w:color w:val="FF0000"/>
          <w:sz w:val="22"/>
          <w:szCs w:val="22"/>
        </w:rPr>
        <w:t xml:space="preserve"> </w:t>
      </w:r>
    </w:p>
    <w:p w:rsidR="008C3C2C" w:rsidRPr="00481BD7" w:rsidRDefault="008C3C2C" w:rsidP="008C3C2C">
      <w:pPr>
        <w:pStyle w:val="Default"/>
        <w:jc w:val="both"/>
        <w:rPr>
          <w:bCs/>
          <w:i/>
          <w:iCs/>
          <w:color w:val="000000" w:themeColor="text1"/>
          <w:sz w:val="22"/>
          <w:szCs w:val="22"/>
          <w:u w:val="single"/>
        </w:rPr>
      </w:pPr>
      <w:r w:rsidRPr="00481BD7">
        <w:rPr>
          <w:bCs/>
          <w:i/>
          <w:iCs/>
          <w:color w:val="000000" w:themeColor="text1"/>
          <w:sz w:val="22"/>
          <w:szCs w:val="22"/>
          <w:u w:val="single"/>
        </w:rPr>
        <w:t>RASHODI ZA NABAVU NEFINANCIJSKE IMOVINE</w:t>
      </w:r>
    </w:p>
    <w:p w:rsidR="008C3C2C" w:rsidRPr="00733A8A" w:rsidRDefault="008C3C2C" w:rsidP="008C3C2C">
      <w:pPr>
        <w:pStyle w:val="Default"/>
        <w:jc w:val="both"/>
        <w:rPr>
          <w:bCs/>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28"/>
        <w:gridCol w:w="1829"/>
        <w:gridCol w:w="1275"/>
      </w:tblGrid>
      <w:tr w:rsidR="008C3C2C" w:rsidRPr="00733A8A" w:rsidTr="00302AAF">
        <w:tc>
          <w:tcPr>
            <w:tcW w:w="4140" w:type="dxa"/>
            <w:shd w:val="clear" w:color="auto" w:fill="FFFFFF"/>
            <w:vAlign w:val="center"/>
          </w:tcPr>
          <w:p w:rsidR="008C3C2C" w:rsidRPr="00733A8A" w:rsidRDefault="008C3C2C" w:rsidP="00302AAF">
            <w:pPr>
              <w:pStyle w:val="Default"/>
              <w:ind w:left="720"/>
              <w:jc w:val="both"/>
              <w:rPr>
                <w:color w:val="000000" w:themeColor="text1"/>
                <w:sz w:val="22"/>
                <w:szCs w:val="22"/>
              </w:rPr>
            </w:pPr>
          </w:p>
          <w:p w:rsidR="008C3C2C" w:rsidRDefault="008C3C2C" w:rsidP="00302AAF">
            <w:pPr>
              <w:pStyle w:val="Default"/>
              <w:jc w:val="both"/>
              <w:rPr>
                <w:bCs/>
                <w:color w:val="000000" w:themeColor="text1"/>
                <w:sz w:val="22"/>
                <w:szCs w:val="22"/>
              </w:rPr>
            </w:pPr>
            <w:r>
              <w:rPr>
                <w:bCs/>
                <w:color w:val="000000" w:themeColor="text1"/>
                <w:sz w:val="22"/>
                <w:szCs w:val="22"/>
              </w:rPr>
              <w:t>RASHODI ZA NABAVU</w:t>
            </w:r>
          </w:p>
          <w:p w:rsidR="008C3C2C" w:rsidRPr="00733A8A" w:rsidRDefault="008C3C2C" w:rsidP="00302AAF">
            <w:pPr>
              <w:pStyle w:val="Default"/>
              <w:jc w:val="both"/>
              <w:rPr>
                <w:bCs/>
                <w:color w:val="000000" w:themeColor="text1"/>
                <w:sz w:val="22"/>
                <w:szCs w:val="22"/>
              </w:rPr>
            </w:pPr>
            <w:r w:rsidRPr="00733A8A">
              <w:rPr>
                <w:bCs/>
                <w:color w:val="000000" w:themeColor="text1"/>
                <w:sz w:val="22"/>
                <w:szCs w:val="22"/>
              </w:rPr>
              <w:t>NEFINANCIJSKE IMOVINE</w:t>
            </w:r>
          </w:p>
          <w:p w:rsidR="008C3C2C" w:rsidRPr="00733A8A"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ascii="Times New Roman" w:hAnsi="Times New Roman" w:cs="Times New Roman"/>
                <w:color w:val="000000" w:themeColor="text1"/>
              </w:rPr>
            </w:pPr>
          </w:p>
        </w:tc>
        <w:tc>
          <w:tcPr>
            <w:tcW w:w="1828" w:type="dxa"/>
            <w:shd w:val="clear" w:color="auto" w:fill="FFFFFF"/>
            <w:vAlign w:val="center"/>
          </w:tcPr>
          <w:p w:rsidR="008C3C2C" w:rsidRPr="00AF2EA2"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Times New Roman" w:hAnsi="Times New Roman" w:cs="Times New Roman"/>
                <w:bCs/>
              </w:rPr>
            </w:pPr>
            <w:r w:rsidRPr="00AF2EA2">
              <w:rPr>
                <w:rFonts w:ascii="Times New Roman" w:hAnsi="Times New Roman" w:cs="Times New Roman"/>
                <w:bCs/>
              </w:rPr>
              <w:t>Plan</w:t>
            </w:r>
            <w:r>
              <w:rPr>
                <w:rFonts w:ascii="Times New Roman" w:hAnsi="Times New Roman" w:cs="Times New Roman"/>
                <w:bCs/>
              </w:rPr>
              <w:t xml:space="preserve"> </w:t>
            </w:r>
            <w:r w:rsidRPr="00AF2EA2">
              <w:rPr>
                <w:rFonts w:ascii="Times New Roman" w:hAnsi="Times New Roman" w:cs="Times New Roman"/>
                <w:bCs/>
              </w:rPr>
              <w:t>2020.</w:t>
            </w:r>
          </w:p>
        </w:tc>
        <w:tc>
          <w:tcPr>
            <w:tcW w:w="1829" w:type="dxa"/>
            <w:shd w:val="clear" w:color="auto" w:fill="FFFFFF"/>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Izvršenje</w:t>
            </w:r>
          </w:p>
          <w:p w:rsidR="008C3C2C" w:rsidRPr="00AF2EA2" w:rsidRDefault="008C3C2C" w:rsidP="00302AAF">
            <w:pPr>
              <w:pStyle w:val="Bezproreda"/>
              <w:jc w:val="center"/>
            </w:pPr>
            <w:r w:rsidRPr="00AF2EA2">
              <w:rPr>
                <w:rFonts w:ascii="Times New Roman" w:hAnsi="Times New Roman"/>
              </w:rPr>
              <w:t>1.1 – 31.12. 2020.</w:t>
            </w:r>
          </w:p>
        </w:tc>
        <w:tc>
          <w:tcPr>
            <w:tcW w:w="1275" w:type="dxa"/>
            <w:shd w:val="clear" w:color="auto" w:fill="FFFFFF"/>
            <w:vAlign w:val="center"/>
          </w:tcPr>
          <w:p w:rsidR="008C3C2C" w:rsidRPr="00AF2EA2" w:rsidRDefault="008C3C2C" w:rsidP="00302A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Times New Roman" w:hAnsi="Times New Roman" w:cs="Times New Roman"/>
                <w:bCs/>
              </w:rPr>
            </w:pPr>
            <w:r w:rsidRPr="00AF2EA2">
              <w:rPr>
                <w:rFonts w:ascii="Times New Roman" w:hAnsi="Times New Roman" w:cs="Times New Roman"/>
                <w:bCs/>
              </w:rPr>
              <w:t>Indeks</w:t>
            </w:r>
            <w:r>
              <w:rPr>
                <w:rFonts w:ascii="Times New Roman" w:hAnsi="Times New Roman" w:cs="Times New Roman"/>
                <w:bCs/>
              </w:rPr>
              <w:t xml:space="preserve"> </w:t>
            </w:r>
            <w:r w:rsidRPr="00AF2EA2">
              <w:rPr>
                <w:rFonts w:ascii="Times New Roman" w:hAnsi="Times New Roman" w:cs="Times New Roman"/>
                <w:bCs/>
              </w:rPr>
              <w:t>2/1</w:t>
            </w:r>
          </w:p>
        </w:tc>
      </w:tr>
      <w:tr w:rsidR="008C3C2C" w:rsidRPr="00733A8A" w:rsidTr="00302AAF">
        <w:trPr>
          <w:trHeight w:val="340"/>
        </w:trPr>
        <w:tc>
          <w:tcPr>
            <w:tcW w:w="4140" w:type="dxa"/>
            <w:vAlign w:val="center"/>
          </w:tcPr>
          <w:p w:rsidR="008C3C2C" w:rsidRPr="00AF2EA2" w:rsidRDefault="008C3C2C" w:rsidP="00302AAF">
            <w:pPr>
              <w:pStyle w:val="Bezproreda"/>
              <w:rPr>
                <w:rFonts w:ascii="Times New Roman" w:hAnsi="Times New Roman"/>
              </w:rPr>
            </w:pPr>
          </w:p>
        </w:tc>
        <w:tc>
          <w:tcPr>
            <w:tcW w:w="1828"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1</w:t>
            </w:r>
          </w:p>
        </w:tc>
        <w:tc>
          <w:tcPr>
            <w:tcW w:w="1829"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2</w:t>
            </w:r>
          </w:p>
        </w:tc>
        <w:tc>
          <w:tcPr>
            <w:tcW w:w="1275" w:type="dxa"/>
            <w:vAlign w:val="center"/>
          </w:tcPr>
          <w:p w:rsidR="008C3C2C" w:rsidRPr="00AF2EA2" w:rsidRDefault="008C3C2C" w:rsidP="00302AAF">
            <w:pPr>
              <w:pStyle w:val="Bezproreda"/>
              <w:jc w:val="center"/>
              <w:rPr>
                <w:rFonts w:ascii="Times New Roman" w:hAnsi="Times New Roman"/>
              </w:rPr>
            </w:pPr>
            <w:r w:rsidRPr="00AF2EA2">
              <w:rPr>
                <w:rFonts w:ascii="Times New Roman" w:hAnsi="Times New Roman"/>
              </w:rPr>
              <w:t>3</w:t>
            </w:r>
          </w:p>
        </w:tc>
      </w:tr>
      <w:tr w:rsidR="008C3C2C" w:rsidRPr="00143C34" w:rsidTr="00302AAF">
        <w:trPr>
          <w:trHeight w:val="397"/>
        </w:trPr>
        <w:tc>
          <w:tcPr>
            <w:tcW w:w="4140" w:type="dxa"/>
            <w:vAlign w:val="center"/>
          </w:tcPr>
          <w:p w:rsidR="008C3C2C" w:rsidRPr="00AF2EA2" w:rsidRDefault="008C3C2C" w:rsidP="00302AAF">
            <w:pPr>
              <w:pStyle w:val="Bezproreda"/>
              <w:rPr>
                <w:rFonts w:ascii="Times New Roman" w:hAnsi="Times New Roman"/>
              </w:rPr>
            </w:pPr>
            <w:r w:rsidRPr="00AF2EA2">
              <w:rPr>
                <w:rFonts w:ascii="Times New Roman" w:hAnsi="Times New Roman"/>
              </w:rPr>
              <w:t>Rashodi za nabavu proizvedene dugotrajne imovine 4</w:t>
            </w:r>
          </w:p>
        </w:tc>
        <w:tc>
          <w:tcPr>
            <w:tcW w:w="1828"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8.543.048,00 </w:t>
            </w:r>
          </w:p>
        </w:tc>
        <w:tc>
          <w:tcPr>
            <w:tcW w:w="1829"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6.605.793,00 </w:t>
            </w:r>
          </w:p>
        </w:tc>
        <w:tc>
          <w:tcPr>
            <w:tcW w:w="1275" w:type="dxa"/>
            <w:vAlign w:val="center"/>
          </w:tcPr>
          <w:p w:rsidR="008C3C2C" w:rsidRPr="00AF2EA2" w:rsidRDefault="008C3C2C" w:rsidP="00302AAF">
            <w:pPr>
              <w:pStyle w:val="Bezproreda"/>
              <w:jc w:val="right"/>
              <w:rPr>
                <w:rFonts w:ascii="Times New Roman" w:hAnsi="Times New Roman"/>
              </w:rPr>
            </w:pPr>
            <w:r w:rsidRPr="00AF2EA2">
              <w:rPr>
                <w:rFonts w:ascii="Times New Roman" w:hAnsi="Times New Roman"/>
              </w:rPr>
              <w:t xml:space="preserve"> 77,3%</w:t>
            </w:r>
          </w:p>
        </w:tc>
      </w:tr>
      <w:tr w:rsidR="008C3C2C" w:rsidRPr="00143C34" w:rsidTr="00302AAF">
        <w:trPr>
          <w:trHeight w:val="454"/>
        </w:trPr>
        <w:tc>
          <w:tcPr>
            <w:tcW w:w="4140" w:type="dxa"/>
            <w:shd w:val="clear" w:color="auto" w:fill="FFFFFF"/>
            <w:vAlign w:val="center"/>
          </w:tcPr>
          <w:p w:rsidR="008C3C2C" w:rsidRPr="00AF2EA2" w:rsidRDefault="008C3C2C" w:rsidP="00302AAF">
            <w:pPr>
              <w:pStyle w:val="Bezproreda"/>
              <w:rPr>
                <w:rFonts w:ascii="Times New Roman" w:hAnsi="Times New Roman"/>
                <w:b/>
              </w:rPr>
            </w:pPr>
            <w:r w:rsidRPr="00AF2EA2">
              <w:rPr>
                <w:rFonts w:ascii="Times New Roman" w:hAnsi="Times New Roman"/>
                <w:b/>
              </w:rPr>
              <w:t>U k u p n o:  4</w:t>
            </w:r>
          </w:p>
        </w:tc>
        <w:tc>
          <w:tcPr>
            <w:tcW w:w="1828"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8.543.048,00 </w:t>
            </w:r>
          </w:p>
        </w:tc>
        <w:tc>
          <w:tcPr>
            <w:tcW w:w="1829"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6.605.793,00 </w:t>
            </w:r>
          </w:p>
        </w:tc>
        <w:tc>
          <w:tcPr>
            <w:tcW w:w="1275" w:type="dxa"/>
            <w:shd w:val="clear" w:color="auto" w:fill="FFFFFF"/>
            <w:vAlign w:val="center"/>
          </w:tcPr>
          <w:p w:rsidR="008C3C2C" w:rsidRPr="00AF2EA2" w:rsidRDefault="008C3C2C" w:rsidP="00302AAF">
            <w:pPr>
              <w:pStyle w:val="Bezproreda"/>
              <w:jc w:val="right"/>
              <w:rPr>
                <w:rFonts w:ascii="Times New Roman" w:hAnsi="Times New Roman"/>
                <w:b/>
              </w:rPr>
            </w:pPr>
            <w:r w:rsidRPr="00AF2EA2">
              <w:rPr>
                <w:rFonts w:ascii="Times New Roman" w:hAnsi="Times New Roman"/>
                <w:b/>
              </w:rPr>
              <w:t xml:space="preserve"> 77,3%</w:t>
            </w:r>
          </w:p>
        </w:tc>
      </w:tr>
    </w:tbl>
    <w:p w:rsidR="008C3C2C" w:rsidRPr="00C007EB" w:rsidRDefault="008C3C2C" w:rsidP="008C3C2C">
      <w:pPr>
        <w:pStyle w:val="Default"/>
        <w:jc w:val="both"/>
        <w:rPr>
          <w:bCs/>
          <w:color w:val="FF0000"/>
          <w:sz w:val="22"/>
          <w:szCs w:val="22"/>
        </w:rPr>
      </w:pPr>
    </w:p>
    <w:p w:rsidR="008C3C2C" w:rsidRDefault="008C3C2C" w:rsidP="008C3C2C">
      <w:pPr>
        <w:ind w:firstLine="708"/>
        <w:jc w:val="both"/>
        <w:rPr>
          <w:rFonts w:ascii="Times New Roman" w:hAnsi="Times New Roman" w:cs="Times New Roman"/>
        </w:rPr>
      </w:pPr>
    </w:p>
    <w:p w:rsidR="008C3C2C" w:rsidRPr="00143C34" w:rsidRDefault="008C3C2C" w:rsidP="008C3C2C">
      <w:pPr>
        <w:ind w:firstLine="708"/>
        <w:jc w:val="both"/>
        <w:rPr>
          <w:rFonts w:ascii="Times New Roman" w:hAnsi="Times New Roman" w:cs="Times New Roman"/>
        </w:rPr>
      </w:pPr>
      <w:r w:rsidRPr="00143C34">
        <w:rPr>
          <w:rFonts w:ascii="Times New Roman" w:hAnsi="Times New Roman" w:cs="Times New Roman"/>
        </w:rPr>
        <w:lastRenderedPageBreak/>
        <w:t xml:space="preserve">Rashodi za nabavu proizvedene dugotrajne imovine realizirani su u iznosu od </w:t>
      </w:r>
      <w:r>
        <w:rPr>
          <w:rFonts w:ascii="Times New Roman" w:hAnsi="Times New Roman" w:cs="Times New Roman"/>
        </w:rPr>
        <w:t>6.605.793</w:t>
      </w:r>
      <w:r w:rsidRPr="00143C34">
        <w:rPr>
          <w:rFonts w:ascii="Times New Roman" w:hAnsi="Times New Roman" w:cs="Times New Roman"/>
        </w:rPr>
        <w:t xml:space="preserve">,00 kn ili </w:t>
      </w:r>
      <w:r>
        <w:rPr>
          <w:rFonts w:ascii="Times New Roman" w:hAnsi="Times New Roman" w:cs="Times New Roman"/>
        </w:rPr>
        <w:t>77,3</w:t>
      </w:r>
      <w:r w:rsidRPr="00143C34">
        <w:rPr>
          <w:rFonts w:ascii="Times New Roman" w:hAnsi="Times New Roman" w:cs="Times New Roman"/>
        </w:rPr>
        <w:t xml:space="preserve">% od  planiranih. Rashodi se odnose </w:t>
      </w:r>
      <w:r>
        <w:rPr>
          <w:rFonts w:ascii="Times New Roman" w:hAnsi="Times New Roman" w:cs="Times New Roman"/>
        </w:rPr>
        <w:t xml:space="preserve"> na izgradnju reciklažnog dvorišta u Tovarniku, gradnju DVD-a u Tovarniku, gradnja cesta,kupnja građevinskog zemljišta,dogradnja i uređenje na dječjem vrtiću, pješačke staze,izgradnja pješačkog prilaza u osnovnoj školi u Tovarniku, izgradnja dječjeg igrališta u Tovarniku,ugradnja reflektora na nogometnom igralištu u Tovarniku, izrada glavnog projekta za fontanu, ugradnja video nadzora, nabavka toplovodne kupke za Villu Tovarnik, nabavka projektora, nabavka klima uređaja, oprema za dječje igralište, oprema za dječji vrtić, kupnja traktora, traktorske prikolice,</w:t>
      </w:r>
    </w:p>
    <w:p w:rsidR="008C3C2C" w:rsidRDefault="008C3C2C" w:rsidP="008C3C2C">
      <w:pPr>
        <w:pStyle w:val="Default"/>
        <w:jc w:val="both"/>
        <w:rPr>
          <w:color w:val="auto"/>
          <w:sz w:val="22"/>
          <w:szCs w:val="22"/>
        </w:rPr>
      </w:pPr>
    </w:p>
    <w:p w:rsidR="008C3C2C" w:rsidRPr="002A4EC5" w:rsidRDefault="008C3C2C" w:rsidP="008C3C2C">
      <w:pPr>
        <w:pStyle w:val="Default"/>
        <w:jc w:val="both"/>
        <w:rPr>
          <w:b/>
          <w:bCs/>
          <w:i/>
          <w:iCs/>
          <w:color w:val="auto"/>
          <w:sz w:val="22"/>
          <w:szCs w:val="22"/>
        </w:rPr>
      </w:pPr>
      <w:r w:rsidRPr="002A4EC5">
        <w:rPr>
          <w:b/>
          <w:bCs/>
          <w:i/>
          <w:iCs/>
          <w:color w:val="auto"/>
          <w:sz w:val="22"/>
          <w:szCs w:val="22"/>
        </w:rPr>
        <w:t xml:space="preserve">6.3. OBRAZLOŽENJE POTRAŽIVANJA </w:t>
      </w:r>
    </w:p>
    <w:p w:rsidR="008C3C2C" w:rsidRPr="002A4EC5" w:rsidRDefault="008C3C2C" w:rsidP="008C3C2C">
      <w:pPr>
        <w:pStyle w:val="Default"/>
        <w:jc w:val="both"/>
        <w:rPr>
          <w:b/>
          <w:bCs/>
          <w:i/>
          <w:iCs/>
          <w:color w:val="auto"/>
          <w:sz w:val="22"/>
          <w:szCs w:val="22"/>
        </w:rPr>
      </w:pPr>
    </w:p>
    <w:p w:rsidR="008C3C2C" w:rsidRDefault="008C3C2C" w:rsidP="008C3C2C">
      <w:pPr>
        <w:pStyle w:val="Default"/>
        <w:jc w:val="both"/>
        <w:rPr>
          <w:color w:val="auto"/>
          <w:sz w:val="22"/>
          <w:szCs w:val="22"/>
        </w:rPr>
      </w:pPr>
      <w:r>
        <w:rPr>
          <w:color w:val="auto"/>
          <w:sz w:val="22"/>
          <w:szCs w:val="22"/>
        </w:rPr>
        <w:t>Ukupna potraživanja 31.12.2020.g. iznose 89.478,08 kn.a odnose se na  nedospjela potraživanja i to:</w:t>
      </w:r>
    </w:p>
    <w:p w:rsidR="008C3C2C" w:rsidRDefault="008C3C2C" w:rsidP="008C3C2C">
      <w:pPr>
        <w:pStyle w:val="Default"/>
        <w:jc w:val="both"/>
        <w:rPr>
          <w:color w:val="auto"/>
          <w:sz w:val="22"/>
          <w:szCs w:val="22"/>
        </w:rPr>
      </w:pPr>
    </w:p>
    <w:p w:rsidR="008C3C2C" w:rsidRDefault="008C3C2C" w:rsidP="008C3C2C">
      <w:pPr>
        <w:pStyle w:val="Default"/>
        <w:numPr>
          <w:ilvl w:val="0"/>
          <w:numId w:val="8"/>
        </w:numPr>
        <w:jc w:val="both"/>
        <w:rPr>
          <w:color w:val="auto"/>
          <w:sz w:val="22"/>
          <w:szCs w:val="22"/>
        </w:rPr>
      </w:pPr>
      <w:r w:rsidRPr="00DF0039">
        <w:rPr>
          <w:color w:val="auto"/>
          <w:sz w:val="22"/>
          <w:szCs w:val="22"/>
        </w:rPr>
        <w:t>zakup zemlje =10.186,93 kn</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potraživanja za zakup Ville Tovarnik =6.200,00 kn</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potraživanja za zakup poslovnog prostora udrugama =1.510,00 kn</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potraživanja za komunalni doprinos =453,67 kn</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potraživanja za komunalnu naknadu =141.455,24 kn</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potraživanja za stipendije =7.000,00 kn (poslano na ovrhu)</w:t>
      </w:r>
    </w:p>
    <w:p w:rsidR="008C3C2C" w:rsidRDefault="008C3C2C" w:rsidP="008C3C2C">
      <w:pPr>
        <w:pStyle w:val="Default"/>
        <w:numPr>
          <w:ilvl w:val="0"/>
          <w:numId w:val="8"/>
        </w:numPr>
        <w:jc w:val="both"/>
        <w:rPr>
          <w:color w:val="auto"/>
          <w:sz w:val="22"/>
          <w:szCs w:val="22"/>
        </w:rPr>
      </w:pPr>
      <w:r w:rsidRPr="00DF0039">
        <w:rPr>
          <w:color w:val="auto"/>
          <w:sz w:val="22"/>
          <w:szCs w:val="22"/>
        </w:rPr>
        <w:t>potraživanje za potporu poljoprivrednicima =3.750,00 kn (poslano na ovrhu)</w:t>
      </w:r>
    </w:p>
    <w:p w:rsidR="008C3C2C" w:rsidRPr="00DF0039" w:rsidRDefault="008C3C2C" w:rsidP="008C3C2C">
      <w:pPr>
        <w:pStyle w:val="Default"/>
        <w:numPr>
          <w:ilvl w:val="0"/>
          <w:numId w:val="8"/>
        </w:numPr>
        <w:jc w:val="both"/>
        <w:rPr>
          <w:color w:val="auto"/>
          <w:sz w:val="22"/>
          <w:szCs w:val="22"/>
        </w:rPr>
      </w:pPr>
      <w:r w:rsidRPr="00DF0039">
        <w:rPr>
          <w:color w:val="auto"/>
          <w:sz w:val="22"/>
          <w:szCs w:val="22"/>
        </w:rPr>
        <w:t>potraživanja za koncesije Eko-dim =4.000,00 kn</w:t>
      </w:r>
    </w:p>
    <w:p w:rsidR="008C3C2C" w:rsidRDefault="008C3C2C" w:rsidP="008C3C2C">
      <w:pPr>
        <w:pStyle w:val="Default"/>
        <w:jc w:val="both"/>
        <w:rPr>
          <w:color w:val="auto"/>
          <w:sz w:val="22"/>
          <w:szCs w:val="22"/>
        </w:rPr>
      </w:pPr>
    </w:p>
    <w:p w:rsidR="008C3C2C" w:rsidRDefault="008C3C2C" w:rsidP="008C3C2C">
      <w:pPr>
        <w:pStyle w:val="Default"/>
        <w:jc w:val="both"/>
        <w:rPr>
          <w:color w:val="auto"/>
          <w:sz w:val="22"/>
          <w:szCs w:val="22"/>
        </w:rPr>
      </w:pPr>
      <w:r>
        <w:rPr>
          <w:color w:val="auto"/>
          <w:sz w:val="22"/>
          <w:szCs w:val="22"/>
        </w:rPr>
        <w:t>Proveden je ispravak potraživanja, jer komunalna naknada ima potraživanja dužih od dospjeća.</w:t>
      </w:r>
    </w:p>
    <w:p w:rsidR="008C3C2C" w:rsidRDefault="008C3C2C" w:rsidP="008C3C2C">
      <w:pPr>
        <w:pStyle w:val="Default"/>
        <w:jc w:val="both"/>
        <w:rPr>
          <w:color w:val="auto"/>
          <w:sz w:val="22"/>
          <w:szCs w:val="22"/>
        </w:rPr>
      </w:pPr>
    </w:p>
    <w:p w:rsidR="008C3C2C" w:rsidRDefault="008C3C2C" w:rsidP="008C3C2C">
      <w:pPr>
        <w:pStyle w:val="Default"/>
        <w:jc w:val="both"/>
        <w:rPr>
          <w:color w:val="auto"/>
          <w:sz w:val="22"/>
          <w:szCs w:val="22"/>
        </w:rPr>
      </w:pPr>
    </w:p>
    <w:p w:rsidR="008C3C2C" w:rsidRDefault="008C3C2C" w:rsidP="008C3C2C">
      <w:pPr>
        <w:pStyle w:val="Default"/>
        <w:jc w:val="both"/>
        <w:rPr>
          <w:b/>
          <w:bCs/>
          <w:i/>
          <w:iCs/>
          <w:color w:val="auto"/>
          <w:sz w:val="22"/>
          <w:szCs w:val="22"/>
        </w:rPr>
      </w:pPr>
      <w:r w:rsidRPr="004C2296">
        <w:rPr>
          <w:b/>
          <w:bCs/>
          <w:i/>
          <w:iCs/>
          <w:color w:val="auto"/>
          <w:sz w:val="22"/>
          <w:szCs w:val="22"/>
        </w:rPr>
        <w:t>6.4.</w:t>
      </w:r>
      <w:r>
        <w:rPr>
          <w:b/>
          <w:bCs/>
          <w:i/>
          <w:iCs/>
          <w:color w:val="auto"/>
          <w:sz w:val="22"/>
          <w:szCs w:val="22"/>
        </w:rPr>
        <w:t xml:space="preserve"> </w:t>
      </w:r>
      <w:r w:rsidRPr="004C2296">
        <w:rPr>
          <w:b/>
          <w:bCs/>
          <w:i/>
          <w:iCs/>
          <w:color w:val="auto"/>
          <w:sz w:val="22"/>
          <w:szCs w:val="22"/>
        </w:rPr>
        <w:t xml:space="preserve">OBRAZLOŽENJE OBVEZA </w:t>
      </w:r>
    </w:p>
    <w:p w:rsidR="008C3C2C" w:rsidRPr="004C2296" w:rsidRDefault="008C3C2C" w:rsidP="008C3C2C">
      <w:pPr>
        <w:pStyle w:val="Default"/>
        <w:jc w:val="both"/>
        <w:rPr>
          <w:b/>
          <w:bCs/>
          <w:i/>
          <w:iCs/>
          <w:color w:val="auto"/>
          <w:sz w:val="22"/>
          <w:szCs w:val="22"/>
        </w:rPr>
      </w:pPr>
    </w:p>
    <w:p w:rsidR="008C3C2C" w:rsidRDefault="008C3C2C" w:rsidP="008C3C2C">
      <w:pPr>
        <w:pStyle w:val="Default"/>
        <w:jc w:val="both"/>
        <w:rPr>
          <w:b/>
          <w:bCs/>
          <w:i/>
          <w:iCs/>
          <w:color w:val="auto"/>
          <w:sz w:val="22"/>
          <w:szCs w:val="22"/>
        </w:rPr>
      </w:pPr>
    </w:p>
    <w:p w:rsidR="008C3C2C" w:rsidRPr="004C2296" w:rsidRDefault="008C3C2C" w:rsidP="008C3C2C">
      <w:pPr>
        <w:pStyle w:val="Default"/>
        <w:jc w:val="both"/>
        <w:rPr>
          <w:color w:val="auto"/>
          <w:sz w:val="22"/>
          <w:szCs w:val="22"/>
        </w:rPr>
      </w:pPr>
      <w:r>
        <w:rPr>
          <w:color w:val="auto"/>
          <w:sz w:val="22"/>
          <w:szCs w:val="22"/>
        </w:rPr>
        <w:t>Ukupne obveze 31.12.2020.g. iznose 3.536.978,11 kn. Obveze se odnose na plaće za prosinac 2020.g. svih zaposlenih, te roba i usluga nastalih u prosincu 2020.g., a plaćene i podmirene u siječnju 2021.g.</w:t>
      </w:r>
    </w:p>
    <w:p w:rsidR="008C3C2C" w:rsidRDefault="008C3C2C" w:rsidP="008C3C2C">
      <w:pPr>
        <w:autoSpaceDE w:val="0"/>
        <w:autoSpaceDN w:val="0"/>
        <w:adjustRightInd w:val="0"/>
        <w:spacing w:after="0" w:line="240" w:lineRule="auto"/>
        <w:jc w:val="both"/>
        <w:rPr>
          <w:rFonts w:ascii="Times New Roman" w:hAnsi="Times New Roman" w:cs="Times New Roman"/>
          <w:b/>
        </w:rPr>
      </w:pPr>
    </w:p>
    <w:p w:rsidR="008C3C2C" w:rsidRDefault="008C3C2C" w:rsidP="008C3C2C">
      <w:pPr>
        <w:autoSpaceDE w:val="0"/>
        <w:autoSpaceDN w:val="0"/>
        <w:adjustRightInd w:val="0"/>
        <w:spacing w:after="0" w:line="240" w:lineRule="auto"/>
        <w:jc w:val="both"/>
        <w:rPr>
          <w:rFonts w:ascii="Times New Roman" w:hAnsi="Times New Roman" w:cs="Times New Roman"/>
          <w:b/>
        </w:rPr>
      </w:pPr>
    </w:p>
    <w:p w:rsidR="008C3C2C" w:rsidRDefault="008C3C2C" w:rsidP="008C3C2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Članak  2.</w:t>
      </w:r>
    </w:p>
    <w:p w:rsidR="008C3C2C" w:rsidRPr="00B23891" w:rsidRDefault="008C3C2C" w:rsidP="008C3C2C">
      <w:pPr>
        <w:spacing w:after="0" w:line="240" w:lineRule="auto"/>
        <w:jc w:val="both"/>
        <w:rPr>
          <w:rFonts w:ascii="Times New Roman" w:hAnsi="Times New Roman" w:cs="Times New Roman"/>
          <w:b/>
          <w:bCs/>
          <w:sz w:val="21"/>
          <w:szCs w:val="21"/>
        </w:rPr>
      </w:pPr>
      <w:r w:rsidRPr="00B23891">
        <w:rPr>
          <w:rFonts w:ascii="Times New Roman" w:eastAsia="Times New Roman" w:hAnsi="Times New Roman" w:cs="Times New Roman"/>
          <w:sz w:val="21"/>
          <w:szCs w:val="21"/>
          <w:lang w:eastAsia="hr-HR"/>
        </w:rPr>
        <w:t xml:space="preserve">Ova Odluka </w:t>
      </w:r>
      <w:r w:rsidRPr="00B23891">
        <w:rPr>
          <w:rFonts w:ascii="Times New Roman" w:hAnsi="Times New Roman" w:cs="Times New Roman"/>
          <w:sz w:val="21"/>
          <w:szCs w:val="21"/>
        </w:rPr>
        <w:t>o usvajanju godišnjeg izvještaja  o izvršenju Proračuna</w:t>
      </w:r>
      <w:r w:rsidRPr="00B23891">
        <w:rPr>
          <w:rFonts w:ascii="Times New Roman" w:hAnsi="Times New Roman" w:cs="Times New Roman"/>
          <w:b/>
          <w:bCs/>
          <w:sz w:val="21"/>
          <w:szCs w:val="21"/>
        </w:rPr>
        <w:t xml:space="preserve"> </w:t>
      </w:r>
      <w:r>
        <w:rPr>
          <w:rFonts w:ascii="Times New Roman" w:hAnsi="Times New Roman" w:cs="Times New Roman"/>
          <w:sz w:val="21"/>
          <w:szCs w:val="21"/>
        </w:rPr>
        <w:t>Općine Tovarnik</w:t>
      </w:r>
      <w:r w:rsidRPr="00B23891">
        <w:rPr>
          <w:rFonts w:ascii="Times New Roman" w:hAnsi="Times New Roman" w:cs="Times New Roman"/>
          <w:sz w:val="21"/>
          <w:szCs w:val="21"/>
        </w:rPr>
        <w:t xml:space="preserve"> za 20</w:t>
      </w:r>
      <w:r>
        <w:rPr>
          <w:rFonts w:ascii="Times New Roman" w:hAnsi="Times New Roman" w:cs="Times New Roman"/>
          <w:sz w:val="21"/>
          <w:szCs w:val="21"/>
        </w:rPr>
        <w:t>20</w:t>
      </w:r>
      <w:r w:rsidRPr="00B23891">
        <w:rPr>
          <w:rFonts w:ascii="Times New Roman" w:hAnsi="Times New Roman" w:cs="Times New Roman"/>
          <w:sz w:val="21"/>
          <w:szCs w:val="21"/>
        </w:rPr>
        <w:t>. godinu</w:t>
      </w:r>
      <w:r w:rsidRPr="00B23891">
        <w:rPr>
          <w:rFonts w:ascii="Times New Roman" w:hAnsi="Times New Roman" w:cs="Times New Roman"/>
          <w:b/>
          <w:bCs/>
          <w:sz w:val="21"/>
          <w:szCs w:val="21"/>
        </w:rPr>
        <w:t xml:space="preserve"> </w:t>
      </w:r>
      <w:r w:rsidRPr="00B23891">
        <w:rPr>
          <w:rFonts w:ascii="Times New Roman" w:eastAsia="Times New Roman" w:hAnsi="Times New Roman" w:cs="Times New Roman"/>
          <w:sz w:val="21"/>
          <w:szCs w:val="21"/>
          <w:lang w:eastAsia="hr-HR"/>
        </w:rPr>
        <w:t>stupa na snagu osmog dana od dana objave u „Službenom vjesniku“ Vukovarsko-srijemske županije.</w:t>
      </w:r>
    </w:p>
    <w:p w:rsidR="008C3C2C" w:rsidRDefault="008C3C2C" w:rsidP="008C3C2C">
      <w:pPr>
        <w:spacing w:after="0" w:line="240" w:lineRule="auto"/>
        <w:rPr>
          <w:rFonts w:ascii="Times New Roman" w:eastAsia="Times New Roman" w:hAnsi="Times New Roman" w:cs="Times New Roman"/>
          <w:sz w:val="21"/>
          <w:szCs w:val="21"/>
          <w:lang w:eastAsia="hr-HR"/>
        </w:rPr>
      </w:pPr>
    </w:p>
    <w:p w:rsidR="008C3C2C" w:rsidRDefault="008C3C2C" w:rsidP="008C3C2C">
      <w:pPr>
        <w:spacing w:after="0" w:line="240" w:lineRule="auto"/>
        <w:rPr>
          <w:rFonts w:ascii="Times New Roman" w:eastAsia="Times New Roman" w:hAnsi="Times New Roman" w:cs="Times New Roman"/>
          <w:sz w:val="21"/>
          <w:szCs w:val="21"/>
          <w:lang w:eastAsia="hr-HR"/>
        </w:rPr>
      </w:pPr>
    </w:p>
    <w:p w:rsidR="008C3C2C" w:rsidRDefault="008C3C2C" w:rsidP="008C3C2C">
      <w:pPr>
        <w:spacing w:after="0" w:line="240" w:lineRule="auto"/>
        <w:rPr>
          <w:rFonts w:ascii="Times New Roman" w:eastAsia="Times New Roman" w:hAnsi="Times New Roman" w:cs="Times New Roman"/>
          <w:sz w:val="21"/>
          <w:szCs w:val="21"/>
          <w:lang w:eastAsia="hr-HR"/>
        </w:rPr>
      </w:pPr>
    </w:p>
    <w:p w:rsidR="008C3C2C" w:rsidRPr="00B23891" w:rsidRDefault="008C3C2C" w:rsidP="008C3C2C">
      <w:pPr>
        <w:spacing w:after="0" w:line="240" w:lineRule="auto"/>
        <w:rPr>
          <w:rFonts w:ascii="Times New Roman" w:eastAsia="Times New Roman" w:hAnsi="Times New Roman" w:cs="Times New Roman"/>
          <w:sz w:val="21"/>
          <w:szCs w:val="21"/>
          <w:lang w:eastAsia="hr-HR"/>
        </w:rPr>
      </w:pPr>
    </w:p>
    <w:p w:rsidR="008C3C2C" w:rsidRDefault="008C3C2C"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066C06" w:rsidRDefault="00066C06" w:rsidP="00066C06">
      <w:pPr>
        <w:pStyle w:val="Tijeloteksta"/>
        <w:spacing w:before="65"/>
        <w:ind w:left="163"/>
        <w:rPr>
          <w:rFonts w:ascii="Times New Roman" w:hAnsi="Times New Roman"/>
        </w:rPr>
      </w:pPr>
      <w:r>
        <w:rPr>
          <w:rFonts w:ascii="Book Antiqua" w:hAnsi="Book Antiqua"/>
          <w:b/>
        </w:rPr>
        <w:lastRenderedPageBreak/>
        <w:tab/>
      </w:r>
      <w:r>
        <w:rPr>
          <w:rFonts w:ascii="Times New Roman" w:hAnsi="Times New Roman"/>
        </w:rPr>
        <w:t>OPĆINA TOVARNIK</w:t>
      </w:r>
    </w:p>
    <w:p w:rsidR="00066C06" w:rsidRDefault="00066C06" w:rsidP="00066C06">
      <w:pPr>
        <w:pStyle w:val="Tijeloteksta"/>
        <w:spacing w:before="65"/>
        <w:ind w:left="163"/>
        <w:rPr>
          <w:rFonts w:ascii="Times New Roman" w:hAnsi="Times New Roman"/>
        </w:rPr>
      </w:pPr>
      <w:r>
        <w:rPr>
          <w:rFonts w:ascii="Times New Roman" w:hAnsi="Times New Roman"/>
        </w:rPr>
        <w:t xml:space="preserve">A.G.MATOŠA 2,  </w:t>
      </w:r>
    </w:p>
    <w:p w:rsidR="00066C06" w:rsidRDefault="00066C06" w:rsidP="00066C06">
      <w:pPr>
        <w:pStyle w:val="Tijeloteksta"/>
        <w:spacing w:before="65"/>
        <w:ind w:left="163"/>
        <w:rPr>
          <w:rFonts w:ascii="Times New Roman" w:hAnsi="Times New Roman"/>
        </w:rPr>
      </w:pPr>
      <w:r>
        <w:rPr>
          <w:rFonts w:ascii="Times New Roman" w:hAnsi="Times New Roman"/>
        </w:rPr>
        <w:t>32249 TOVARNIK</w:t>
      </w:r>
    </w:p>
    <w:p w:rsidR="00066C06" w:rsidRPr="004877E4" w:rsidRDefault="00066C06" w:rsidP="00066C06">
      <w:pPr>
        <w:pStyle w:val="Tijeloteksta"/>
        <w:spacing w:before="65"/>
        <w:ind w:left="163"/>
        <w:rPr>
          <w:rFonts w:ascii="Times New Roman" w:hAnsi="Times New Roman"/>
        </w:rPr>
      </w:pPr>
    </w:p>
    <w:p w:rsidR="00066C06" w:rsidRPr="0031648E" w:rsidRDefault="00066C06" w:rsidP="00066C06">
      <w:pPr>
        <w:pStyle w:val="Tijeloteksta"/>
        <w:spacing w:before="93"/>
        <w:ind w:left="1099"/>
        <w:rPr>
          <w:b/>
        </w:rPr>
      </w:pPr>
      <w:r w:rsidRPr="0031648E">
        <w:rPr>
          <w:b/>
        </w:rPr>
        <w:t>GODIŠNJI IZVJEŠTAJ  O IZVRŠENJU PRORAČUNA OPĆINE TOVARNIK ZA 2020. GODINU</w:t>
      </w:r>
    </w:p>
    <w:p w:rsidR="00066C06" w:rsidRDefault="00066C06" w:rsidP="00066C06">
      <w:pPr>
        <w:pStyle w:val="Tijeloteksta"/>
        <w:rPr>
          <w:sz w:val="26"/>
        </w:rPr>
      </w:pPr>
    </w:p>
    <w:p w:rsidR="00066C06" w:rsidRDefault="00066C06" w:rsidP="00066C06">
      <w:pPr>
        <w:tabs>
          <w:tab w:val="left" w:pos="11414"/>
        </w:tabs>
        <w:spacing w:before="52"/>
        <w:ind w:left="163"/>
        <w:rPr>
          <w:sz w:val="26"/>
        </w:rPr>
      </w:pPr>
      <w:r>
        <w:rPr>
          <w:b/>
          <w:w w:val="80"/>
          <w:sz w:val="26"/>
          <w:u w:val="thick"/>
        </w:rPr>
        <w:t>A.</w:t>
      </w:r>
      <w:r>
        <w:rPr>
          <w:b/>
          <w:spacing w:val="-4"/>
          <w:w w:val="80"/>
          <w:sz w:val="26"/>
          <w:u w:val="thick"/>
        </w:rPr>
        <w:t>SAŽETAK</w:t>
      </w:r>
    </w:p>
    <w:p w:rsidR="00066C06" w:rsidRDefault="00066C06" w:rsidP="00066C06">
      <w:pPr>
        <w:spacing w:before="6"/>
        <w:rPr>
          <w:sz w:val="8"/>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5291"/>
        <w:gridCol w:w="1797"/>
        <w:gridCol w:w="1794"/>
        <w:gridCol w:w="2421"/>
      </w:tblGrid>
      <w:tr w:rsidR="00066C06" w:rsidTr="00AF2660">
        <w:trPr>
          <w:trHeight w:hRule="exact" w:val="558"/>
        </w:trPr>
        <w:tc>
          <w:tcPr>
            <w:tcW w:w="5291" w:type="dxa"/>
            <w:tcBorders>
              <w:bottom w:val="single" w:sz="8" w:space="0" w:color="000000"/>
            </w:tcBorders>
          </w:tcPr>
          <w:p w:rsidR="00066C06" w:rsidRDefault="00066C06" w:rsidP="00AF2660"/>
        </w:tc>
        <w:tc>
          <w:tcPr>
            <w:tcW w:w="1797" w:type="dxa"/>
            <w:tcBorders>
              <w:bottom w:val="single" w:sz="8" w:space="0" w:color="000000"/>
            </w:tcBorders>
          </w:tcPr>
          <w:p w:rsidR="00066C06" w:rsidRDefault="00066C06" w:rsidP="00AF2660">
            <w:pPr>
              <w:pStyle w:val="TableParagraph"/>
              <w:spacing w:line="223" w:lineRule="exact"/>
              <w:ind w:left="310"/>
              <w:rPr>
                <w:rFonts w:ascii="Arial"/>
                <w:sz w:val="20"/>
              </w:rPr>
            </w:pPr>
            <w:r>
              <w:rPr>
                <w:rFonts w:ascii="Arial"/>
                <w:sz w:val="20"/>
              </w:rPr>
              <w:t>PLANIRANO</w:t>
            </w:r>
          </w:p>
        </w:tc>
        <w:tc>
          <w:tcPr>
            <w:tcW w:w="1794" w:type="dxa"/>
            <w:tcBorders>
              <w:bottom w:val="single" w:sz="8" w:space="0" w:color="000000"/>
            </w:tcBorders>
          </w:tcPr>
          <w:p w:rsidR="00066C06" w:rsidRDefault="00066C06" w:rsidP="00AF2660">
            <w:pPr>
              <w:pStyle w:val="TableParagraph"/>
              <w:spacing w:line="223" w:lineRule="exact"/>
              <w:ind w:left="151"/>
              <w:rPr>
                <w:rFonts w:ascii="Arial"/>
                <w:sz w:val="20"/>
              </w:rPr>
            </w:pPr>
            <w:r>
              <w:rPr>
                <w:rFonts w:ascii="Arial"/>
                <w:sz w:val="20"/>
              </w:rPr>
              <w:t>OSTVARENO</w:t>
            </w:r>
          </w:p>
        </w:tc>
        <w:tc>
          <w:tcPr>
            <w:tcW w:w="2421" w:type="dxa"/>
            <w:tcBorders>
              <w:bottom w:val="single" w:sz="8" w:space="0" w:color="000000"/>
            </w:tcBorders>
          </w:tcPr>
          <w:p w:rsidR="00066C06" w:rsidRDefault="00066C06" w:rsidP="00AF2660">
            <w:pPr>
              <w:pStyle w:val="TableParagraph"/>
              <w:spacing w:line="237" w:lineRule="auto"/>
              <w:ind w:left="335" w:right="1374" w:hanging="54"/>
              <w:rPr>
                <w:rFonts w:ascii="Arial"/>
                <w:sz w:val="20"/>
              </w:rPr>
            </w:pPr>
            <w:r>
              <w:rPr>
                <w:rFonts w:ascii="Arial"/>
                <w:sz w:val="20"/>
              </w:rPr>
              <w:t>INDEKS 3/2*100</w:t>
            </w:r>
          </w:p>
        </w:tc>
      </w:tr>
      <w:tr w:rsidR="00066C06" w:rsidTr="00AF2660">
        <w:trPr>
          <w:trHeight w:hRule="exact" w:val="420"/>
        </w:trPr>
        <w:tc>
          <w:tcPr>
            <w:tcW w:w="5291" w:type="dxa"/>
            <w:tcBorders>
              <w:top w:val="single" w:sz="8" w:space="0" w:color="000000"/>
              <w:bottom w:val="single" w:sz="8" w:space="0" w:color="000000"/>
            </w:tcBorders>
          </w:tcPr>
          <w:p w:rsidR="00066C06" w:rsidRDefault="00066C06" w:rsidP="00AF2660">
            <w:pPr>
              <w:pStyle w:val="TableParagraph"/>
              <w:spacing w:before="100" w:line="240" w:lineRule="auto"/>
              <w:ind w:left="1472"/>
              <w:rPr>
                <w:rFonts w:ascii="Arial"/>
                <w:sz w:val="20"/>
              </w:rPr>
            </w:pPr>
            <w:r>
              <w:rPr>
                <w:rFonts w:ascii="Arial"/>
                <w:sz w:val="20"/>
              </w:rPr>
              <w:t>1</w:t>
            </w:r>
          </w:p>
        </w:tc>
        <w:tc>
          <w:tcPr>
            <w:tcW w:w="1797" w:type="dxa"/>
            <w:tcBorders>
              <w:top w:val="single" w:sz="8" w:space="0" w:color="000000"/>
              <w:bottom w:val="single" w:sz="8" w:space="0" w:color="000000"/>
            </w:tcBorders>
          </w:tcPr>
          <w:p w:rsidR="00066C06" w:rsidRDefault="00066C06" w:rsidP="00AF2660">
            <w:pPr>
              <w:pStyle w:val="TableParagraph"/>
              <w:spacing w:before="100" w:line="240" w:lineRule="auto"/>
              <w:ind w:left="36"/>
              <w:jc w:val="center"/>
              <w:rPr>
                <w:rFonts w:ascii="Arial"/>
                <w:sz w:val="20"/>
              </w:rPr>
            </w:pPr>
            <w:r>
              <w:rPr>
                <w:rFonts w:ascii="Arial"/>
                <w:sz w:val="20"/>
              </w:rPr>
              <w:t>2</w:t>
            </w:r>
          </w:p>
        </w:tc>
        <w:tc>
          <w:tcPr>
            <w:tcW w:w="1794" w:type="dxa"/>
            <w:tcBorders>
              <w:top w:val="single" w:sz="8" w:space="0" w:color="000000"/>
              <w:bottom w:val="single" w:sz="8" w:space="0" w:color="000000"/>
            </w:tcBorders>
          </w:tcPr>
          <w:p w:rsidR="00066C06" w:rsidRDefault="00066C06" w:rsidP="00AF2660">
            <w:pPr>
              <w:pStyle w:val="TableParagraph"/>
              <w:spacing w:before="100" w:line="240" w:lineRule="auto"/>
              <w:ind w:left="255"/>
              <w:jc w:val="center"/>
              <w:rPr>
                <w:rFonts w:ascii="Arial"/>
                <w:sz w:val="20"/>
              </w:rPr>
            </w:pPr>
            <w:r>
              <w:rPr>
                <w:rFonts w:ascii="Arial"/>
                <w:sz w:val="20"/>
              </w:rPr>
              <w:t>3</w:t>
            </w:r>
          </w:p>
        </w:tc>
        <w:tc>
          <w:tcPr>
            <w:tcW w:w="2421" w:type="dxa"/>
            <w:tcBorders>
              <w:top w:val="single" w:sz="8" w:space="0" w:color="000000"/>
              <w:bottom w:val="single" w:sz="8" w:space="0" w:color="000000"/>
            </w:tcBorders>
          </w:tcPr>
          <w:p w:rsidR="00066C06" w:rsidRDefault="00066C06" w:rsidP="00AF2660">
            <w:pPr>
              <w:pStyle w:val="TableParagraph"/>
              <w:spacing w:before="100" w:line="240" w:lineRule="auto"/>
              <w:ind w:left="510"/>
              <w:rPr>
                <w:rFonts w:ascii="Arial"/>
                <w:sz w:val="20"/>
              </w:rPr>
            </w:pPr>
            <w:r>
              <w:rPr>
                <w:rFonts w:ascii="Arial"/>
                <w:sz w:val="20"/>
              </w:rPr>
              <w:t>4</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PRIHODI POSLOVANJA</w:t>
            </w:r>
          </w:p>
        </w:tc>
        <w:tc>
          <w:tcPr>
            <w:tcW w:w="1797" w:type="dxa"/>
            <w:tcBorders>
              <w:top w:val="single" w:sz="8" w:space="0" w:color="000000"/>
              <w:bottom w:val="single" w:sz="8" w:space="0" w:color="000000"/>
            </w:tcBorders>
          </w:tcPr>
          <w:p w:rsidR="00066C06" w:rsidRDefault="00066C06" w:rsidP="00AF2660">
            <w:pPr>
              <w:pStyle w:val="TableParagraph"/>
              <w:ind w:right="151"/>
              <w:jc w:val="right"/>
              <w:rPr>
                <w:sz w:val="20"/>
              </w:rPr>
            </w:pPr>
            <w:r>
              <w:rPr>
                <w:sz w:val="20"/>
              </w:rPr>
              <w:t>13.517.473,34</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14.662.232,16</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left="474"/>
              <w:rPr>
                <w:sz w:val="20"/>
              </w:rPr>
            </w:pPr>
            <w:r>
              <w:rPr>
                <w:sz w:val="20"/>
              </w:rPr>
              <w:t>108,47</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RASHODI POSLOVANJA</w:t>
            </w:r>
          </w:p>
        </w:tc>
        <w:tc>
          <w:tcPr>
            <w:tcW w:w="1797" w:type="dxa"/>
            <w:tcBorders>
              <w:top w:val="single" w:sz="8" w:space="0" w:color="000000"/>
              <w:bottom w:val="single" w:sz="8" w:space="0" w:color="000000"/>
            </w:tcBorders>
          </w:tcPr>
          <w:p w:rsidR="00066C06" w:rsidRDefault="00066C06" w:rsidP="00AF2660">
            <w:pPr>
              <w:pStyle w:val="TableParagraph"/>
              <w:ind w:right="151"/>
              <w:jc w:val="right"/>
              <w:rPr>
                <w:sz w:val="20"/>
              </w:rPr>
            </w:pPr>
            <w:r>
              <w:rPr>
                <w:sz w:val="20"/>
              </w:rPr>
              <w:t>8.353.351,00</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8.792.058,54</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left="474"/>
              <w:rPr>
                <w:sz w:val="20"/>
              </w:rPr>
            </w:pPr>
            <w:r>
              <w:rPr>
                <w:sz w:val="20"/>
              </w:rPr>
              <w:t>105,25</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RASHODI ZA NABAVU NEFINANCIJSKE IMOVIN</w:t>
            </w:r>
          </w:p>
        </w:tc>
        <w:tc>
          <w:tcPr>
            <w:tcW w:w="1797" w:type="dxa"/>
            <w:tcBorders>
              <w:top w:val="single" w:sz="8" w:space="0" w:color="000000"/>
              <w:bottom w:val="single" w:sz="8" w:space="0" w:color="000000"/>
            </w:tcBorders>
          </w:tcPr>
          <w:p w:rsidR="00066C06" w:rsidRDefault="00066C06" w:rsidP="00AF2660">
            <w:pPr>
              <w:pStyle w:val="TableParagraph"/>
              <w:ind w:right="151"/>
              <w:jc w:val="right"/>
              <w:rPr>
                <w:sz w:val="20"/>
              </w:rPr>
            </w:pPr>
            <w:r>
              <w:rPr>
                <w:sz w:val="20"/>
              </w:rPr>
              <w:t>6.835.908,51</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6.605.792,93</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left="574"/>
              <w:rPr>
                <w:sz w:val="20"/>
              </w:rPr>
            </w:pPr>
            <w:r>
              <w:rPr>
                <w:sz w:val="20"/>
              </w:rPr>
              <w:t>96,63</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b/>
                <w:sz w:val="20"/>
              </w:rPr>
            </w:pPr>
            <w:r>
              <w:rPr>
                <w:b/>
                <w:sz w:val="20"/>
              </w:rPr>
              <w:t>RAZLIKA - VIŠAK/MANJAK</w:t>
            </w:r>
          </w:p>
        </w:tc>
        <w:tc>
          <w:tcPr>
            <w:tcW w:w="1797" w:type="dxa"/>
            <w:tcBorders>
              <w:top w:val="single" w:sz="8" w:space="0" w:color="000000"/>
              <w:bottom w:val="single" w:sz="8" w:space="0" w:color="000000"/>
            </w:tcBorders>
          </w:tcPr>
          <w:p w:rsidR="00066C06" w:rsidRDefault="00066C06" w:rsidP="00AF2660">
            <w:pPr>
              <w:pStyle w:val="TableParagraph"/>
              <w:ind w:right="150"/>
              <w:jc w:val="right"/>
              <w:rPr>
                <w:b/>
                <w:sz w:val="20"/>
              </w:rPr>
            </w:pPr>
            <w:r>
              <w:rPr>
                <w:b/>
                <w:sz w:val="20"/>
              </w:rPr>
              <w:t>-1.671.786,17</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b/>
                <w:sz w:val="20"/>
              </w:rPr>
            </w:pPr>
            <w:r>
              <w:rPr>
                <w:b/>
                <w:sz w:val="20"/>
              </w:rPr>
              <w:t>-735.619,31</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left="574"/>
              <w:rPr>
                <w:b/>
                <w:sz w:val="20"/>
              </w:rPr>
            </w:pPr>
            <w:r>
              <w:rPr>
                <w:b/>
                <w:sz w:val="20"/>
              </w:rPr>
              <w:t>44,00</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PRIMICI OD FINANCIJSKE IMOVINE I ZADUŽIVANJA</w:t>
            </w:r>
          </w:p>
        </w:tc>
        <w:tc>
          <w:tcPr>
            <w:tcW w:w="1797" w:type="dxa"/>
            <w:tcBorders>
              <w:top w:val="single" w:sz="8" w:space="0" w:color="000000"/>
              <w:bottom w:val="single" w:sz="8" w:space="0" w:color="000000"/>
            </w:tcBorders>
          </w:tcPr>
          <w:p w:rsidR="00066C06" w:rsidRDefault="00066C06" w:rsidP="00AF2660">
            <w:pPr>
              <w:pStyle w:val="TableParagraph"/>
              <w:ind w:right="150"/>
              <w:jc w:val="right"/>
              <w:rPr>
                <w:sz w:val="20"/>
              </w:rPr>
            </w:pPr>
            <w:r>
              <w:rPr>
                <w:sz w:val="20"/>
              </w:rPr>
              <w:t>0,00</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0,00</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right="1394"/>
              <w:jc w:val="right"/>
              <w:rPr>
                <w:sz w:val="20"/>
              </w:rPr>
            </w:pPr>
            <w:r>
              <w:rPr>
                <w:sz w:val="20"/>
              </w:rPr>
              <w:t>0,00</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IZDACI ZA FINANCIJSKU IMOVINU I OTPLATE</w:t>
            </w:r>
          </w:p>
          <w:p w:rsidR="00066C06" w:rsidRDefault="00066C06" w:rsidP="00AF2660">
            <w:pPr>
              <w:pStyle w:val="TableParagraph"/>
              <w:spacing w:before="6" w:line="240" w:lineRule="auto"/>
              <w:ind w:left="50"/>
              <w:rPr>
                <w:sz w:val="20"/>
              </w:rPr>
            </w:pPr>
            <w:r>
              <w:rPr>
                <w:sz w:val="20"/>
              </w:rPr>
              <w:t>ZAJMOVA</w:t>
            </w:r>
          </w:p>
        </w:tc>
        <w:tc>
          <w:tcPr>
            <w:tcW w:w="1797" w:type="dxa"/>
            <w:tcBorders>
              <w:top w:val="single" w:sz="8" w:space="0" w:color="000000"/>
              <w:bottom w:val="single" w:sz="8" w:space="0" w:color="000000"/>
            </w:tcBorders>
          </w:tcPr>
          <w:p w:rsidR="00066C06" w:rsidRDefault="00066C06" w:rsidP="00AF2660">
            <w:pPr>
              <w:pStyle w:val="TableParagraph"/>
              <w:ind w:right="150"/>
              <w:jc w:val="right"/>
              <w:rPr>
                <w:sz w:val="20"/>
              </w:rPr>
            </w:pPr>
            <w:r>
              <w:rPr>
                <w:sz w:val="20"/>
              </w:rPr>
              <w:t>0,00</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0,00</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right="1394"/>
              <w:jc w:val="right"/>
              <w:rPr>
                <w:sz w:val="20"/>
              </w:rPr>
            </w:pPr>
            <w:r>
              <w:rPr>
                <w:sz w:val="20"/>
              </w:rPr>
              <w:t>0,00</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b/>
                <w:sz w:val="20"/>
              </w:rPr>
            </w:pPr>
            <w:r>
              <w:rPr>
                <w:b/>
                <w:sz w:val="20"/>
              </w:rPr>
              <w:t>NETO FINANCIRANJE</w:t>
            </w:r>
          </w:p>
        </w:tc>
        <w:tc>
          <w:tcPr>
            <w:tcW w:w="1797" w:type="dxa"/>
            <w:tcBorders>
              <w:top w:val="single" w:sz="8" w:space="0" w:color="000000"/>
              <w:bottom w:val="single" w:sz="8" w:space="0" w:color="000000"/>
            </w:tcBorders>
          </w:tcPr>
          <w:p w:rsidR="00066C06" w:rsidRDefault="00066C06" w:rsidP="00AF2660">
            <w:pPr>
              <w:pStyle w:val="TableParagraph"/>
              <w:ind w:right="150"/>
              <w:jc w:val="right"/>
              <w:rPr>
                <w:b/>
                <w:sz w:val="20"/>
              </w:rPr>
            </w:pPr>
            <w:r>
              <w:rPr>
                <w:b/>
                <w:sz w:val="20"/>
              </w:rPr>
              <w:t>0,00</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b/>
                <w:sz w:val="20"/>
              </w:rPr>
            </w:pPr>
            <w:r>
              <w:rPr>
                <w:b/>
                <w:sz w:val="20"/>
              </w:rPr>
              <w:t>0,00</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right="1394"/>
              <w:jc w:val="right"/>
              <w:rPr>
                <w:b/>
                <w:sz w:val="20"/>
              </w:rPr>
            </w:pPr>
            <w:r>
              <w:rPr>
                <w:b/>
                <w:sz w:val="20"/>
              </w:rPr>
              <w:t>0,00</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b/>
                <w:sz w:val="20"/>
              </w:rPr>
            </w:pPr>
            <w:r>
              <w:rPr>
                <w:b/>
                <w:sz w:val="20"/>
              </w:rPr>
              <w:t>VIŠAK/MANJAK + NETO FINANCIRANJE</w:t>
            </w:r>
          </w:p>
        </w:tc>
        <w:tc>
          <w:tcPr>
            <w:tcW w:w="1797" w:type="dxa"/>
            <w:tcBorders>
              <w:top w:val="single" w:sz="8" w:space="0" w:color="000000"/>
              <w:bottom w:val="single" w:sz="8" w:space="0" w:color="000000"/>
            </w:tcBorders>
          </w:tcPr>
          <w:p w:rsidR="00066C06" w:rsidRDefault="00066C06" w:rsidP="00AF2660">
            <w:pPr>
              <w:pStyle w:val="TableParagraph"/>
              <w:ind w:right="150"/>
              <w:jc w:val="right"/>
              <w:rPr>
                <w:b/>
                <w:sz w:val="20"/>
              </w:rPr>
            </w:pPr>
            <w:r>
              <w:rPr>
                <w:b/>
                <w:sz w:val="20"/>
              </w:rPr>
              <w:t>-1.671.786,17</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b/>
                <w:sz w:val="20"/>
              </w:rPr>
            </w:pPr>
            <w:r>
              <w:rPr>
                <w:b/>
                <w:sz w:val="20"/>
              </w:rPr>
              <w:t>-735.619,31</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left="574"/>
              <w:rPr>
                <w:b/>
                <w:sz w:val="20"/>
              </w:rPr>
            </w:pPr>
            <w:r>
              <w:rPr>
                <w:b/>
                <w:sz w:val="20"/>
              </w:rPr>
              <w:t>44,00</w:t>
            </w:r>
          </w:p>
        </w:tc>
      </w:tr>
      <w:tr w:rsidR="00066C06" w:rsidTr="00AF2660">
        <w:trPr>
          <w:trHeight w:hRule="exact" w:val="691"/>
        </w:trPr>
        <w:tc>
          <w:tcPr>
            <w:tcW w:w="5291" w:type="dxa"/>
            <w:tcBorders>
              <w:top w:val="single" w:sz="8" w:space="0" w:color="000000"/>
              <w:bottom w:val="single" w:sz="8" w:space="0" w:color="000000"/>
            </w:tcBorders>
          </w:tcPr>
          <w:p w:rsidR="00066C06" w:rsidRDefault="00066C06" w:rsidP="00AF2660">
            <w:pPr>
              <w:pStyle w:val="TableParagraph"/>
              <w:ind w:left="50"/>
              <w:rPr>
                <w:sz w:val="20"/>
              </w:rPr>
            </w:pPr>
            <w:r>
              <w:rPr>
                <w:sz w:val="20"/>
              </w:rPr>
              <w:t>VIŠAK/MANJAK PRIHODA IZ PRETHODNIH GODINA -</w:t>
            </w:r>
          </w:p>
          <w:p w:rsidR="00066C06" w:rsidRDefault="00066C06" w:rsidP="00AF2660">
            <w:pPr>
              <w:pStyle w:val="TableParagraph"/>
              <w:spacing w:before="6" w:line="240" w:lineRule="auto"/>
              <w:ind w:left="50"/>
              <w:rPr>
                <w:sz w:val="20"/>
              </w:rPr>
            </w:pPr>
            <w:r>
              <w:rPr>
                <w:sz w:val="20"/>
              </w:rPr>
              <w:t>PRENESENI</w:t>
            </w:r>
          </w:p>
        </w:tc>
        <w:tc>
          <w:tcPr>
            <w:tcW w:w="1797" w:type="dxa"/>
            <w:tcBorders>
              <w:top w:val="single" w:sz="8" w:space="0" w:color="000000"/>
              <w:bottom w:val="single" w:sz="8" w:space="0" w:color="000000"/>
            </w:tcBorders>
          </w:tcPr>
          <w:p w:rsidR="00066C06" w:rsidRDefault="00066C06" w:rsidP="00AF2660">
            <w:pPr>
              <w:pStyle w:val="TableParagraph"/>
              <w:ind w:right="151"/>
              <w:jc w:val="right"/>
              <w:rPr>
                <w:sz w:val="20"/>
              </w:rPr>
            </w:pPr>
            <w:r>
              <w:rPr>
                <w:sz w:val="20"/>
              </w:rPr>
              <w:t>589.656,64</w:t>
            </w:r>
          </w:p>
        </w:tc>
        <w:tc>
          <w:tcPr>
            <w:tcW w:w="1794" w:type="dxa"/>
            <w:tcBorders>
              <w:top w:val="single" w:sz="8" w:space="0" w:color="000000"/>
              <w:bottom w:val="single" w:sz="8" w:space="0" w:color="000000"/>
            </w:tcBorders>
          </w:tcPr>
          <w:p w:rsidR="00066C06" w:rsidRDefault="00066C06" w:rsidP="00AF2660">
            <w:pPr>
              <w:pStyle w:val="TableParagraph"/>
              <w:ind w:right="279"/>
              <w:jc w:val="right"/>
              <w:rPr>
                <w:sz w:val="20"/>
              </w:rPr>
            </w:pPr>
            <w:r>
              <w:rPr>
                <w:sz w:val="20"/>
              </w:rPr>
              <w:t>589.656,64</w:t>
            </w:r>
          </w:p>
        </w:tc>
        <w:tc>
          <w:tcPr>
            <w:tcW w:w="2421" w:type="dxa"/>
            <w:tcBorders>
              <w:top w:val="single" w:sz="8" w:space="0" w:color="000000"/>
              <w:bottom w:val="single" w:sz="8" w:space="0" w:color="000000"/>
            </w:tcBorders>
          </w:tcPr>
          <w:p w:rsidR="00066C06" w:rsidRDefault="00066C06" w:rsidP="00AF2660">
            <w:pPr>
              <w:pStyle w:val="TableParagraph"/>
              <w:spacing w:before="26" w:line="240" w:lineRule="auto"/>
              <w:ind w:right="1394"/>
              <w:jc w:val="right"/>
              <w:rPr>
                <w:sz w:val="20"/>
              </w:rPr>
            </w:pPr>
            <w:r>
              <w:rPr>
                <w:sz w:val="20"/>
              </w:rPr>
              <w:t>0,00</w:t>
            </w:r>
          </w:p>
        </w:tc>
      </w:tr>
      <w:tr w:rsidR="00066C06" w:rsidTr="00AF2660">
        <w:trPr>
          <w:trHeight w:hRule="exact" w:val="456"/>
        </w:trPr>
        <w:tc>
          <w:tcPr>
            <w:tcW w:w="5291" w:type="dxa"/>
            <w:tcBorders>
              <w:top w:val="single" w:sz="8" w:space="0" w:color="000000"/>
            </w:tcBorders>
          </w:tcPr>
          <w:p w:rsidR="00066C06" w:rsidRDefault="00066C06" w:rsidP="00AF2660">
            <w:pPr>
              <w:pStyle w:val="TableParagraph"/>
              <w:spacing w:line="213" w:lineRule="exact"/>
              <w:ind w:left="50"/>
              <w:rPr>
                <w:b/>
                <w:sz w:val="20"/>
              </w:rPr>
            </w:pPr>
            <w:r>
              <w:rPr>
                <w:b/>
                <w:sz w:val="20"/>
              </w:rPr>
              <w:t>VIŠAK/MANJAK + NETO FINANCIRANJE +</w:t>
            </w:r>
          </w:p>
          <w:p w:rsidR="00066C06" w:rsidRDefault="00066C06" w:rsidP="00AF2660">
            <w:pPr>
              <w:pStyle w:val="TableParagraph"/>
              <w:spacing w:before="3" w:line="240" w:lineRule="auto"/>
              <w:ind w:left="50"/>
              <w:rPr>
                <w:b/>
                <w:sz w:val="20"/>
              </w:rPr>
            </w:pPr>
            <w:r>
              <w:rPr>
                <w:b/>
                <w:sz w:val="20"/>
              </w:rPr>
              <w:t>RASPOLOŽIVA SREDSTVA IZ PRETHODNIH</w:t>
            </w:r>
          </w:p>
        </w:tc>
        <w:tc>
          <w:tcPr>
            <w:tcW w:w="1797" w:type="dxa"/>
            <w:tcBorders>
              <w:top w:val="single" w:sz="8" w:space="0" w:color="000000"/>
            </w:tcBorders>
          </w:tcPr>
          <w:p w:rsidR="00066C06" w:rsidRDefault="00066C06" w:rsidP="00AF2660">
            <w:pPr>
              <w:pStyle w:val="TableParagraph"/>
              <w:ind w:right="150"/>
              <w:jc w:val="right"/>
              <w:rPr>
                <w:b/>
                <w:sz w:val="20"/>
              </w:rPr>
            </w:pPr>
            <w:r>
              <w:rPr>
                <w:b/>
                <w:sz w:val="20"/>
              </w:rPr>
              <w:t>-1.082.129,53</w:t>
            </w:r>
          </w:p>
        </w:tc>
        <w:tc>
          <w:tcPr>
            <w:tcW w:w="1794" w:type="dxa"/>
            <w:tcBorders>
              <w:top w:val="single" w:sz="8" w:space="0" w:color="000000"/>
            </w:tcBorders>
          </w:tcPr>
          <w:p w:rsidR="00066C06" w:rsidRDefault="00066C06" w:rsidP="00AF2660">
            <w:pPr>
              <w:pStyle w:val="TableParagraph"/>
              <w:ind w:right="279"/>
              <w:jc w:val="right"/>
              <w:rPr>
                <w:b/>
                <w:sz w:val="20"/>
              </w:rPr>
            </w:pPr>
            <w:r>
              <w:rPr>
                <w:b/>
                <w:sz w:val="20"/>
              </w:rPr>
              <w:t>-145.962,67</w:t>
            </w:r>
          </w:p>
        </w:tc>
        <w:tc>
          <w:tcPr>
            <w:tcW w:w="2421" w:type="dxa"/>
            <w:tcBorders>
              <w:top w:val="single" w:sz="8" w:space="0" w:color="000000"/>
            </w:tcBorders>
          </w:tcPr>
          <w:p w:rsidR="00066C06" w:rsidRDefault="00066C06" w:rsidP="00AF2660">
            <w:pPr>
              <w:pStyle w:val="TableParagraph"/>
              <w:spacing w:before="26" w:line="240" w:lineRule="auto"/>
              <w:ind w:left="574"/>
              <w:rPr>
                <w:b/>
                <w:sz w:val="20"/>
              </w:rPr>
            </w:pPr>
            <w:r>
              <w:rPr>
                <w:b/>
                <w:sz w:val="20"/>
              </w:rPr>
              <w:t>13,48</w:t>
            </w:r>
          </w:p>
        </w:tc>
      </w:tr>
    </w:tbl>
    <w:p w:rsidR="00066C06" w:rsidRPr="004877E4" w:rsidRDefault="00066C06" w:rsidP="00066C06">
      <w:pPr>
        <w:tabs>
          <w:tab w:val="left" w:pos="11427"/>
        </w:tabs>
        <w:spacing w:before="3" w:after="200" w:line="276" w:lineRule="auto"/>
        <w:ind w:left="163"/>
        <w:rPr>
          <w:sz w:val="20"/>
        </w:rPr>
      </w:pPr>
      <w:r>
        <w:rPr>
          <w:b/>
          <w:sz w:val="20"/>
          <w:u w:val="thick"/>
        </w:rPr>
        <w:t>GODINA</w:t>
      </w:r>
    </w:p>
    <w:p w:rsidR="00066C06" w:rsidRDefault="00066C06" w:rsidP="00066C06">
      <w:pPr>
        <w:widowControl w:val="0"/>
        <w:tabs>
          <w:tab w:val="left" w:pos="90"/>
        </w:tabs>
        <w:autoSpaceDE w:val="0"/>
        <w:autoSpaceDN w:val="0"/>
        <w:adjustRightInd w:val="0"/>
        <w:spacing w:before="216" w:after="0" w:line="240" w:lineRule="auto"/>
        <w:jc w:val="center"/>
        <w:rPr>
          <w:rFonts w:ascii="Times New Roman" w:hAnsi="Times New Roman" w:cs="Times New Roman"/>
          <w:b/>
          <w:bCs/>
        </w:rPr>
      </w:pPr>
    </w:p>
    <w:p w:rsidR="00066C06" w:rsidRDefault="00066C06" w:rsidP="00F714D0">
      <w:pPr>
        <w:spacing w:after="0" w:line="240" w:lineRule="auto"/>
        <w:rPr>
          <w:rFonts w:ascii="Times New Roman" w:eastAsia="Times New Roman" w:hAnsi="Times New Roman" w:cs="Times New Roman"/>
          <w:sz w:val="21"/>
          <w:szCs w:val="21"/>
          <w:lang w:eastAsia="hr-HR"/>
        </w:rPr>
      </w:pPr>
      <w:bookmarkStart w:id="0" w:name="_GoBack"/>
      <w:bookmarkEnd w:id="0"/>
    </w:p>
    <w:p w:rsidR="00066C06" w:rsidRDefault="00066C06" w:rsidP="008C3C2C">
      <w:pPr>
        <w:spacing w:after="0" w:line="240" w:lineRule="auto"/>
        <w:ind w:left="4248"/>
        <w:jc w:val="center"/>
        <w:rPr>
          <w:rFonts w:ascii="Times New Roman" w:eastAsia="Times New Roman" w:hAnsi="Times New Roman" w:cs="Times New Roman"/>
          <w:sz w:val="21"/>
          <w:szCs w:val="21"/>
          <w:lang w:eastAsia="hr-HR"/>
        </w:rPr>
      </w:pPr>
    </w:p>
    <w:p w:rsidR="008C3C2C" w:rsidRDefault="008C3C2C" w:rsidP="008C3C2C">
      <w:pPr>
        <w:spacing w:after="0" w:line="240" w:lineRule="auto"/>
        <w:ind w:left="4248"/>
        <w:jc w:val="center"/>
        <w:rPr>
          <w:rFonts w:ascii="Times New Roman" w:eastAsia="Times New Roman" w:hAnsi="Times New Roman" w:cs="Times New Roman"/>
          <w:sz w:val="21"/>
          <w:szCs w:val="21"/>
          <w:lang w:eastAsia="hr-HR"/>
        </w:rPr>
      </w:pPr>
    </w:p>
    <w:p w:rsidR="008C3C2C" w:rsidRDefault="008C3C2C" w:rsidP="008C3C2C">
      <w:pPr>
        <w:spacing w:after="0" w:line="240" w:lineRule="auto"/>
        <w:ind w:left="4248"/>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NAČELNICA OPĆINE TOVARNIK</w:t>
      </w:r>
    </w:p>
    <w:p w:rsidR="008C3C2C" w:rsidRPr="00DF0DD3" w:rsidRDefault="008C3C2C" w:rsidP="008C3C2C">
      <w:pPr>
        <w:spacing w:after="0" w:line="240" w:lineRule="auto"/>
        <w:ind w:left="4248"/>
        <w:jc w:val="center"/>
      </w:pPr>
      <w:r>
        <w:rPr>
          <w:rFonts w:ascii="Times New Roman" w:eastAsia="Times New Roman" w:hAnsi="Times New Roman" w:cs="Times New Roman"/>
          <w:sz w:val="21"/>
          <w:szCs w:val="21"/>
          <w:lang w:eastAsia="hr-HR"/>
        </w:rPr>
        <w:t xml:space="preserve">Ruža V. Šijaković </w:t>
      </w:r>
      <w:r>
        <w:rPr>
          <w:rFonts w:ascii="Times New Roman" w:eastAsia="Times New Roman" w:hAnsi="Times New Roman"/>
          <w:b/>
          <w:lang w:eastAsia="hr-HR"/>
        </w:rPr>
        <w:t xml:space="preserve"> </w:t>
      </w:r>
    </w:p>
    <w:p w:rsidR="00E91DF1" w:rsidRDefault="00E91DF1" w:rsidP="008C3C2C">
      <w:pPr>
        <w:tabs>
          <w:tab w:val="left" w:pos="553"/>
        </w:tabs>
        <w:rPr>
          <w:rFonts w:ascii="Book Antiqua" w:hAnsi="Book Antiqua"/>
          <w:b/>
        </w:rPr>
      </w:pPr>
    </w:p>
    <w:p w:rsidR="00E91DF1" w:rsidRDefault="00E91DF1" w:rsidP="00A8399B">
      <w:pPr>
        <w:jc w:val="right"/>
        <w:rPr>
          <w:rFonts w:ascii="Book Antiqua" w:hAnsi="Book Antiqua"/>
          <w:b/>
        </w:rPr>
      </w:pPr>
    </w:p>
    <w:sectPr w:rsidR="00E91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A7" w:rsidRDefault="00E253A7" w:rsidP="00066C06">
      <w:pPr>
        <w:spacing w:after="0" w:line="240" w:lineRule="auto"/>
      </w:pPr>
      <w:r>
        <w:separator/>
      </w:r>
    </w:p>
  </w:endnote>
  <w:endnote w:type="continuationSeparator" w:id="0">
    <w:p w:rsidR="00E253A7" w:rsidRDefault="00E253A7" w:rsidP="0006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A7" w:rsidRDefault="00E253A7" w:rsidP="00066C06">
      <w:pPr>
        <w:spacing w:after="0" w:line="240" w:lineRule="auto"/>
      </w:pPr>
      <w:r>
        <w:separator/>
      </w:r>
    </w:p>
  </w:footnote>
  <w:footnote w:type="continuationSeparator" w:id="0">
    <w:p w:rsidR="00E253A7" w:rsidRDefault="00E253A7" w:rsidP="0006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937E38"/>
    <w:multiLevelType w:val="hybridMultilevel"/>
    <w:tmpl w:val="F83CCF08"/>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DC2559"/>
    <w:multiLevelType w:val="hybridMultilevel"/>
    <w:tmpl w:val="31A63836"/>
    <w:lvl w:ilvl="0" w:tplc="E4F88B54">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A1C3CB8"/>
    <w:multiLevelType w:val="hybridMultilevel"/>
    <w:tmpl w:val="0584D5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1B"/>
    <w:rsid w:val="00066C06"/>
    <w:rsid w:val="002150EB"/>
    <w:rsid w:val="004A6935"/>
    <w:rsid w:val="00654E86"/>
    <w:rsid w:val="007B033F"/>
    <w:rsid w:val="008C3C2C"/>
    <w:rsid w:val="008E7D1B"/>
    <w:rsid w:val="00A8399B"/>
    <w:rsid w:val="00E253A7"/>
    <w:rsid w:val="00E91DF1"/>
    <w:rsid w:val="00F7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D2CD1-A5F1-4060-A635-0800B5A5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8399B"/>
    <w:pPr>
      <w:spacing w:after="0" w:line="240" w:lineRule="auto"/>
    </w:pPr>
    <w:rPr>
      <w:rFonts w:ascii="Calibri" w:eastAsia="Calibri" w:hAnsi="Calibri" w:cs="Times New Roman"/>
    </w:rPr>
  </w:style>
  <w:style w:type="character" w:styleId="Hiperveza">
    <w:name w:val="Hyperlink"/>
    <w:uiPriority w:val="99"/>
    <w:semiHidden/>
    <w:unhideWhenUsed/>
    <w:rsid w:val="00A8399B"/>
    <w:rPr>
      <w:color w:val="0000FF"/>
      <w:u w:val="single"/>
    </w:rPr>
  </w:style>
  <w:style w:type="paragraph" w:customStyle="1" w:styleId="Default">
    <w:name w:val="Default"/>
    <w:rsid w:val="00A8399B"/>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A8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8399B"/>
    <w:pPr>
      <w:ind w:left="720"/>
      <w:contextualSpacing/>
    </w:pPr>
    <w:rPr>
      <w:rFonts w:ascii="Calibri" w:eastAsia="Times New Roman" w:hAnsi="Calibri" w:cs="Times New Roman"/>
      <w:kern w:val="2"/>
      <w:lang w:eastAsia="hr-HR"/>
    </w:rPr>
  </w:style>
  <w:style w:type="paragraph" w:styleId="Tijeloteksta">
    <w:name w:val="Body Text"/>
    <w:basedOn w:val="Normal"/>
    <w:link w:val="TijelotekstaChar"/>
    <w:uiPriority w:val="99"/>
    <w:unhideWhenUsed/>
    <w:rsid w:val="008C3C2C"/>
    <w:pPr>
      <w:spacing w:after="120" w:line="276" w:lineRule="auto"/>
    </w:pPr>
    <w:rPr>
      <w:rFonts w:ascii="Calibri" w:eastAsia="Calibri" w:hAnsi="Calibri" w:cs="Times New Roman"/>
    </w:rPr>
  </w:style>
  <w:style w:type="character" w:customStyle="1" w:styleId="TijelotekstaChar">
    <w:name w:val="Tijelo teksta Char"/>
    <w:basedOn w:val="Zadanifontodlomka"/>
    <w:link w:val="Tijeloteksta"/>
    <w:uiPriority w:val="99"/>
    <w:rsid w:val="008C3C2C"/>
    <w:rPr>
      <w:rFonts w:ascii="Calibri" w:eastAsia="Calibri" w:hAnsi="Calibri" w:cs="Times New Roman"/>
    </w:rPr>
  </w:style>
  <w:style w:type="table" w:customStyle="1" w:styleId="TableNormal">
    <w:name w:val="Table Normal"/>
    <w:uiPriority w:val="2"/>
    <w:semiHidden/>
    <w:unhideWhenUsed/>
    <w:qFormat/>
    <w:rsid w:val="008C3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3C2C"/>
    <w:pPr>
      <w:widowControl w:val="0"/>
      <w:autoSpaceDE w:val="0"/>
      <w:autoSpaceDN w:val="0"/>
      <w:spacing w:after="0" w:line="211" w:lineRule="exact"/>
    </w:pPr>
    <w:rPr>
      <w:rFonts w:ascii="Times New Roman" w:eastAsia="Times New Roman" w:hAnsi="Times New Roman" w:cs="Times New Roman"/>
      <w:lang w:val="en-US"/>
    </w:rPr>
  </w:style>
  <w:style w:type="paragraph" w:styleId="Zaglavlje">
    <w:name w:val="header"/>
    <w:basedOn w:val="Normal"/>
    <w:link w:val="ZaglavljeChar"/>
    <w:uiPriority w:val="99"/>
    <w:unhideWhenUsed/>
    <w:rsid w:val="00066C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6C06"/>
  </w:style>
  <w:style w:type="paragraph" w:styleId="Podnoje">
    <w:name w:val="footer"/>
    <w:basedOn w:val="Normal"/>
    <w:link w:val="PodnojeChar"/>
    <w:uiPriority w:val="99"/>
    <w:unhideWhenUsed/>
    <w:rsid w:val="00066C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582" TargetMode="External"/><Relationship Id="rId5" Type="http://schemas.openxmlformats.org/officeDocument/2006/relationships/footnotes" Target="footnotes.xml"/><Relationship Id="rId10" Type="http://schemas.openxmlformats.org/officeDocument/2006/relationships/hyperlink" Target="https://www.zakon.hr/cms.htm?id=211" TargetMode="External"/><Relationship Id="rId4" Type="http://schemas.openxmlformats.org/officeDocument/2006/relationships/webSettings" Target="webSettings.xml"/><Relationship Id="rId9" Type="http://schemas.openxmlformats.org/officeDocument/2006/relationships/hyperlink" Target="https://www.zakon.hr/cms.htm?id=2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1567</Words>
  <Characters>8936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2021-03-31T08:36:00Z</dcterms:created>
  <dcterms:modified xsi:type="dcterms:W3CDTF">2021-04-07T11:44:00Z</dcterms:modified>
</cp:coreProperties>
</file>