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REPUBLIKA HRVATSKA</w:t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VUKOVARSKO-SRIJEMSKA ŽUPANIJA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</w:rPr>
      </w:pPr>
      <w:r w:rsidRPr="00167C02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C02">
        <w:rPr>
          <w:rFonts w:ascii="Book Antiqua" w:hAnsi="Book Antiqua"/>
          <w:b/>
        </w:rPr>
        <w:t xml:space="preserve"> OPĆINA TOVARNIK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  <w:r w:rsidRPr="00167C02">
        <w:rPr>
          <w:rFonts w:ascii="Book Antiqua" w:hAnsi="Book Antiqua"/>
          <w:b/>
        </w:rPr>
        <w:t xml:space="preserve"> </w:t>
      </w:r>
      <w:r w:rsidRPr="00167C02">
        <w:rPr>
          <w:rFonts w:ascii="Book Antiqua" w:hAnsi="Book Antiqua"/>
          <w:b/>
          <w:lang w:val="de-DE"/>
        </w:rPr>
        <w:t xml:space="preserve">POVJERENSTVO ZA PROVEDBU OGLASA 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</w:p>
    <w:p w:rsidR="006B602E" w:rsidRPr="00167C02" w:rsidRDefault="00167C02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KLASA: 112-01/</w:t>
      </w:r>
      <w:r w:rsidR="008C6730">
        <w:rPr>
          <w:rFonts w:ascii="Book Antiqua" w:hAnsi="Book Antiqua"/>
          <w:lang w:val="de-DE"/>
        </w:rPr>
        <w:t>20-04/10</w:t>
      </w:r>
    </w:p>
    <w:p w:rsidR="006B602E" w:rsidRPr="00167C02" w:rsidRDefault="008C6730" w:rsidP="006B602E">
      <w:pPr>
        <w:spacing w:after="0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URBROJ: 2188/12-03</w:t>
      </w:r>
      <w:r w:rsidR="00831295">
        <w:rPr>
          <w:rFonts w:ascii="Book Antiqua" w:hAnsi="Book Antiqua"/>
          <w:lang w:val="de-DE"/>
        </w:rPr>
        <w:t>/01-20-6</w:t>
      </w:r>
      <w:bookmarkStart w:id="0" w:name="_GoBack"/>
      <w:bookmarkEnd w:id="0"/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 xml:space="preserve">Tovarnik, </w:t>
      </w:r>
      <w:r w:rsidR="008C6730">
        <w:rPr>
          <w:rFonts w:ascii="Book Antiqua" w:hAnsi="Book Antiqua"/>
          <w:lang w:val="de-DE"/>
        </w:rPr>
        <w:t>03.07.</w:t>
      </w:r>
      <w:r w:rsidR="00167C02" w:rsidRPr="00167C02">
        <w:rPr>
          <w:rFonts w:ascii="Book Antiqua" w:hAnsi="Book Antiqua"/>
          <w:lang w:val="de-DE"/>
        </w:rPr>
        <w:t xml:space="preserve">2020. </w:t>
      </w:r>
      <w:r w:rsidRPr="00167C02">
        <w:rPr>
          <w:rFonts w:ascii="Book Antiqua" w:hAnsi="Book Antiqua"/>
          <w:lang w:val="de-DE"/>
        </w:rPr>
        <w:t xml:space="preserve"> </w:t>
      </w:r>
    </w:p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6B602E" w:rsidRPr="00167C02" w:rsidRDefault="006B602E" w:rsidP="006B602E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temelju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odredbe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20.</w:t>
      </w:r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u</w:t>
      </w:r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vezi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s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odredbom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(„Narodne novine</w:t>
      </w:r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“ 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86/08, 61/11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04/18), a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svezi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mjesto </w:t>
      </w:r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referent –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administrativni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voditelj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”, referent –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operativni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voditelj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” I referent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računovodstvo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”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objavljenog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stranicama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Hrvatskog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zavoda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zapošljav</w:t>
      </w:r>
      <w:r w:rsidR="008C6730">
        <w:rPr>
          <w:rFonts w:ascii="Book Antiqua" w:eastAsia="Times New Roman" w:hAnsi="Book Antiqua" w:cs="Segoe UI"/>
          <w:color w:val="333333"/>
          <w:lang w:eastAsia="hr-HR"/>
        </w:rPr>
        <w:t>anje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>, Ispostava Vukovar dana 24.06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.2020. 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web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objavljuje</w:t>
      </w:r>
      <w:proofErr w:type="spellEnd"/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 POZIV NA PRETHODNU PROVJERU ZNANJA I SPOSOBNOSTI KANDIDATA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mjesto</w:t>
      </w:r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="008C6730">
        <w:rPr>
          <w:rFonts w:ascii="Book Antiqua" w:eastAsia="Times New Roman" w:hAnsi="Book Antiqua" w:cs="Segoe UI"/>
          <w:color w:val="333333"/>
          <w:lang w:eastAsia="hr-HR"/>
        </w:rPr>
        <w:t>referent</w:t>
      </w:r>
      <w:proofErr w:type="gram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–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administrativni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voditelj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”, referent –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operativni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voditelj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” I referent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računovodstvo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” </w:t>
      </w:r>
      <w:proofErr w:type="spellStart"/>
      <w:r w:rsidR="008C6730">
        <w:rPr>
          <w:rFonts w:ascii="Book Antiqua" w:eastAsia="Times New Roman" w:hAnsi="Book Antiqua" w:cs="Segoe UI"/>
          <w:color w:val="333333"/>
          <w:lang w:eastAsia="hr-HR"/>
        </w:rPr>
        <w:t>održalo</w:t>
      </w:r>
      <w:proofErr w:type="spellEnd"/>
      <w:r w:rsidR="008C6730">
        <w:rPr>
          <w:rFonts w:ascii="Book Antiqua" w:eastAsia="Times New Roman" w:hAnsi="Book Antiqua" w:cs="Segoe UI"/>
          <w:color w:val="333333"/>
          <w:lang w:eastAsia="hr-HR"/>
        </w:rPr>
        <w:t xml:space="preserve"> je dana 03.07.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2020. 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sjednicu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razmotrilo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pristigle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utvrdilo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pisanom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mogu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sljedeći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kandidatkinje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podnijeli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pravodobnu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potpunu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ispunjavaju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formalne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uvjete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propisane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redoslijedu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zaprimanja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):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8C6730" w:rsidRPr="008C6730" w:rsidRDefault="008C6730" w:rsidP="008C6730">
      <w:pPr>
        <w:rPr>
          <w:rFonts w:ascii="Book Antiqua" w:hAnsi="Book Antiqua"/>
          <w:sz w:val="20"/>
          <w:szCs w:val="20"/>
          <w:lang w:val="hr-HR"/>
        </w:rPr>
      </w:pPr>
      <w:r w:rsidRPr="008C6730">
        <w:rPr>
          <w:rFonts w:ascii="Book Antiqua" w:hAnsi="Book Antiqua"/>
          <w:sz w:val="20"/>
          <w:szCs w:val="20"/>
          <w:lang w:val="hr-HR"/>
        </w:rPr>
        <w:t>Referent – administrativni voditelj projekta „Zaželi</w:t>
      </w:r>
      <w:r>
        <w:rPr>
          <w:rFonts w:ascii="Book Antiqua" w:hAnsi="Book Antiqua"/>
          <w:sz w:val="20"/>
          <w:szCs w:val="20"/>
          <w:lang w:val="hr-HR"/>
        </w:rPr>
        <w:t>“</w:t>
      </w:r>
      <w:r w:rsidRPr="008C6730">
        <w:rPr>
          <w:rFonts w:ascii="Book Antiqua" w:hAnsi="Book Antiqua"/>
          <w:sz w:val="20"/>
          <w:szCs w:val="20"/>
          <w:lang w:val="hr-HR"/>
        </w:rPr>
        <w:t>:</w:t>
      </w:r>
    </w:p>
    <w:p w:rsidR="008C6730" w:rsidRPr="008C6730" w:rsidRDefault="008C6730" w:rsidP="008C6730">
      <w:pPr>
        <w:numPr>
          <w:ilvl w:val="0"/>
          <w:numId w:val="2"/>
        </w:numPr>
        <w:spacing w:line="360" w:lineRule="auto"/>
        <w:contextualSpacing/>
        <w:rPr>
          <w:rFonts w:ascii="Book Antiqua" w:hAnsi="Book Antiqua"/>
          <w:sz w:val="20"/>
          <w:szCs w:val="20"/>
          <w:lang w:val="hr-HR"/>
        </w:rPr>
      </w:pPr>
      <w:r w:rsidRPr="008C6730">
        <w:rPr>
          <w:rFonts w:ascii="Book Antiqua" w:hAnsi="Book Antiqua"/>
          <w:sz w:val="20"/>
          <w:szCs w:val="20"/>
          <w:lang w:val="hr-HR"/>
        </w:rPr>
        <w:t xml:space="preserve">Katica </w:t>
      </w:r>
      <w:r>
        <w:rPr>
          <w:rFonts w:ascii="Book Antiqua" w:hAnsi="Book Antiqua"/>
          <w:sz w:val="20"/>
          <w:szCs w:val="20"/>
          <w:lang w:val="hr-HR"/>
        </w:rPr>
        <w:t>Matić</w:t>
      </w:r>
    </w:p>
    <w:p w:rsidR="008C6730" w:rsidRDefault="008C6730" w:rsidP="008C6730">
      <w:pPr>
        <w:numPr>
          <w:ilvl w:val="0"/>
          <w:numId w:val="2"/>
        </w:numPr>
        <w:spacing w:line="360" w:lineRule="auto"/>
        <w:contextualSpacing/>
        <w:rPr>
          <w:rFonts w:ascii="Book Antiqua" w:hAnsi="Book Antiqua"/>
          <w:sz w:val="20"/>
          <w:szCs w:val="20"/>
          <w:lang w:val="hr-HR"/>
        </w:rPr>
      </w:pPr>
      <w:r w:rsidRPr="008C6730">
        <w:rPr>
          <w:rFonts w:ascii="Book Antiqua" w:hAnsi="Book Antiqua"/>
          <w:sz w:val="20"/>
          <w:szCs w:val="20"/>
          <w:lang w:val="hr-HR"/>
        </w:rPr>
        <w:t>Ani</w:t>
      </w:r>
      <w:r>
        <w:rPr>
          <w:rFonts w:ascii="Book Antiqua" w:hAnsi="Book Antiqua"/>
          <w:sz w:val="20"/>
          <w:szCs w:val="20"/>
          <w:lang w:val="hr-HR"/>
        </w:rPr>
        <w:t>ca Dragičević</w:t>
      </w:r>
    </w:p>
    <w:p w:rsidR="008C6730" w:rsidRDefault="008C6730" w:rsidP="008C6730">
      <w:pPr>
        <w:spacing w:line="360" w:lineRule="auto"/>
        <w:ind w:left="720"/>
        <w:contextualSpacing/>
        <w:rPr>
          <w:rFonts w:ascii="Book Antiqua" w:hAnsi="Book Antiqua"/>
          <w:sz w:val="20"/>
          <w:szCs w:val="20"/>
          <w:lang w:val="hr-HR"/>
        </w:rPr>
      </w:pPr>
    </w:p>
    <w:p w:rsidR="008C6730" w:rsidRDefault="008C6730" w:rsidP="008C6730">
      <w:pPr>
        <w:spacing w:line="360" w:lineRule="auto"/>
        <w:ind w:left="720"/>
        <w:contextualSpacing/>
        <w:rPr>
          <w:rFonts w:ascii="Book Antiqua" w:hAnsi="Book Antiqua"/>
          <w:sz w:val="20"/>
          <w:szCs w:val="20"/>
          <w:lang w:val="hr-HR"/>
        </w:rPr>
      </w:pPr>
    </w:p>
    <w:p w:rsidR="008C6730" w:rsidRPr="00793A2D" w:rsidRDefault="00793A2D" w:rsidP="00793A2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hAnsi="Book Antiqua"/>
          <w:sz w:val="20"/>
          <w:szCs w:val="20"/>
          <w:lang w:val="hr-HR"/>
        </w:rPr>
        <w:t>Od šest pristiglih prijava četiri</w:t>
      </w:r>
      <w:r w:rsidR="008C6730" w:rsidRPr="008C6730">
        <w:rPr>
          <w:rFonts w:ascii="Book Antiqua" w:hAnsi="Book Antiqua"/>
          <w:sz w:val="20"/>
          <w:szCs w:val="20"/>
          <w:lang w:val="hr-HR"/>
        </w:rPr>
        <w:t xml:space="preserve"> nisu potpune, To</w:t>
      </w:r>
      <w:r>
        <w:rPr>
          <w:rFonts w:ascii="Book Antiqua" w:hAnsi="Book Antiqua"/>
          <w:sz w:val="20"/>
          <w:szCs w:val="20"/>
          <w:lang w:val="hr-HR"/>
        </w:rPr>
        <w:t>mislav Rušnov, Željka Sarafini,</w:t>
      </w:r>
      <w:r w:rsidR="008C6730" w:rsidRPr="008C6730">
        <w:rPr>
          <w:rFonts w:ascii="Book Antiqua" w:hAnsi="Book Antiqua"/>
          <w:sz w:val="20"/>
          <w:szCs w:val="20"/>
          <w:lang w:val="hr-HR"/>
        </w:rPr>
        <w:t xml:space="preserve"> Patricija Jaredić</w:t>
      </w:r>
      <w:r>
        <w:rPr>
          <w:rFonts w:ascii="Book Antiqua" w:hAnsi="Book Antiqua"/>
          <w:sz w:val="20"/>
          <w:szCs w:val="20"/>
          <w:lang w:val="hr-HR"/>
        </w:rPr>
        <w:t xml:space="preserve">  i Jelena Karačić, </w:t>
      </w:r>
      <w:r w:rsidR="008C6730" w:rsidRPr="00793A2D">
        <w:rPr>
          <w:rFonts w:ascii="Book Antiqua" w:hAnsi="Book Antiqua"/>
          <w:sz w:val="20"/>
          <w:szCs w:val="20"/>
          <w:lang w:val="hr-HR"/>
        </w:rPr>
        <w:t xml:space="preserve">nedostaje preslika ugovora o radu ili rješenja o rasporedu ili potvrda </w:t>
      </w:r>
    </w:p>
    <w:p w:rsidR="008C6730" w:rsidRDefault="008C6730" w:rsidP="006B602E">
      <w:pPr>
        <w:rPr>
          <w:rFonts w:ascii="Book Antiqua" w:hAnsi="Book Antiqua"/>
          <w:b/>
        </w:rPr>
      </w:pPr>
    </w:p>
    <w:p w:rsidR="008C6730" w:rsidRDefault="008C6730" w:rsidP="006B602E">
      <w:pPr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color w:val="333333"/>
          <w:lang w:eastAsia="hr-HR"/>
        </w:rPr>
        <w:t xml:space="preserve">Referent –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operativni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voditelj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>”:</w:t>
      </w:r>
    </w:p>
    <w:p w:rsidR="008C6730" w:rsidRDefault="008C6730" w:rsidP="008C6730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8C6730">
        <w:rPr>
          <w:rFonts w:ascii="Book Antiqua" w:hAnsi="Book Antiqua"/>
        </w:rPr>
        <w:t xml:space="preserve">Ana </w:t>
      </w:r>
      <w:proofErr w:type="spellStart"/>
      <w:r w:rsidRPr="008C6730">
        <w:rPr>
          <w:rFonts w:ascii="Book Antiqua" w:hAnsi="Book Antiqua"/>
        </w:rPr>
        <w:t>Kuveždić</w:t>
      </w:r>
      <w:proofErr w:type="spellEnd"/>
    </w:p>
    <w:p w:rsidR="008C6730" w:rsidRDefault="008C6730" w:rsidP="008C6730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Anica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Dragičević</w:t>
      </w:r>
      <w:proofErr w:type="spellEnd"/>
    </w:p>
    <w:p w:rsidR="008C6730" w:rsidRDefault="008C6730" w:rsidP="008C6730">
      <w:pPr>
        <w:rPr>
          <w:rFonts w:ascii="Book Antiqua" w:hAnsi="Book Antiqua"/>
        </w:rPr>
      </w:pPr>
    </w:p>
    <w:p w:rsidR="008C6730" w:rsidRPr="008C6730" w:rsidRDefault="008C6730" w:rsidP="008C673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Book Antiqua" w:eastAsia="Times New Roman" w:hAnsi="Book Antiqua" w:cs="Segoe UI"/>
          <w:color w:val="333333"/>
          <w:lang w:eastAsia="hr-HR"/>
        </w:rPr>
      </w:pPr>
      <w:r w:rsidRPr="008C6730">
        <w:rPr>
          <w:rFonts w:ascii="Book Antiqua" w:hAnsi="Book Antiqua"/>
          <w:sz w:val="20"/>
          <w:szCs w:val="20"/>
          <w:lang w:val="hr-HR"/>
        </w:rPr>
        <w:t xml:space="preserve">Od </w:t>
      </w:r>
      <w:r w:rsidR="00793A2D">
        <w:rPr>
          <w:rFonts w:ascii="Book Antiqua" w:hAnsi="Book Antiqua"/>
          <w:sz w:val="20"/>
          <w:szCs w:val="20"/>
          <w:lang w:val="hr-HR"/>
        </w:rPr>
        <w:t>četiri</w:t>
      </w:r>
      <w:r>
        <w:rPr>
          <w:rFonts w:ascii="Book Antiqua" w:hAnsi="Book Antiqua"/>
          <w:sz w:val="20"/>
          <w:szCs w:val="20"/>
          <w:lang w:val="hr-HR"/>
        </w:rPr>
        <w:t xml:space="preserve"> pristigle prijave</w:t>
      </w:r>
      <w:r w:rsidRPr="008C6730">
        <w:rPr>
          <w:rFonts w:ascii="Book Antiqua" w:hAnsi="Book Antiqua"/>
          <w:sz w:val="20"/>
          <w:szCs w:val="20"/>
          <w:lang w:val="hr-HR"/>
        </w:rPr>
        <w:t xml:space="preserve"> </w:t>
      </w:r>
      <w:r w:rsidR="00793A2D">
        <w:rPr>
          <w:rFonts w:ascii="Book Antiqua" w:hAnsi="Book Antiqua"/>
          <w:sz w:val="20"/>
          <w:szCs w:val="20"/>
          <w:lang w:val="hr-HR"/>
        </w:rPr>
        <w:t>dvije nisu potpune, Tomislav Rušnov i Jelena Karačić,</w:t>
      </w:r>
      <w:r w:rsidRPr="008C6730">
        <w:rPr>
          <w:rFonts w:ascii="Book Antiqua" w:hAnsi="Book Antiqua"/>
          <w:sz w:val="20"/>
          <w:szCs w:val="20"/>
          <w:lang w:val="hr-HR"/>
        </w:rPr>
        <w:t xml:space="preserve"> </w:t>
      </w:r>
      <w:r>
        <w:rPr>
          <w:rFonts w:ascii="Book Antiqua" w:hAnsi="Book Antiqua"/>
          <w:sz w:val="20"/>
          <w:szCs w:val="20"/>
          <w:lang w:val="hr-HR"/>
        </w:rPr>
        <w:t>nedostaje preslika ugovora o radu ili rješenja o rasporedu ili potvrda</w:t>
      </w:r>
      <w:r w:rsidRPr="008C6730">
        <w:rPr>
          <w:rFonts w:ascii="Book Antiqua" w:hAnsi="Book Antiqua"/>
          <w:sz w:val="20"/>
          <w:szCs w:val="20"/>
          <w:lang w:val="hr-HR"/>
        </w:rPr>
        <w:t xml:space="preserve"> </w:t>
      </w:r>
    </w:p>
    <w:p w:rsidR="008C6730" w:rsidRPr="008C6730" w:rsidRDefault="008C6730" w:rsidP="008C6730">
      <w:pPr>
        <w:rPr>
          <w:rFonts w:ascii="Book Antiqua" w:hAnsi="Book Antiqua"/>
        </w:rPr>
      </w:pPr>
    </w:p>
    <w:p w:rsidR="008C6730" w:rsidRDefault="008C6730" w:rsidP="008C6730">
      <w:pPr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color w:val="333333"/>
          <w:lang w:eastAsia="hr-HR"/>
        </w:rPr>
        <w:t xml:space="preserve">Referent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računovodstvo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projekta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“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Zaželi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>”:</w:t>
      </w:r>
    </w:p>
    <w:p w:rsidR="008C6730" w:rsidRDefault="008C6730" w:rsidP="008C6730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Ivana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Katalenić</w:t>
      </w:r>
      <w:proofErr w:type="spellEnd"/>
    </w:p>
    <w:p w:rsidR="008C6730" w:rsidRDefault="008C6730" w:rsidP="008C6730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Zvonimir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Užarević</w:t>
      </w:r>
      <w:proofErr w:type="spellEnd"/>
    </w:p>
    <w:p w:rsidR="008C6730" w:rsidRPr="008C6730" w:rsidRDefault="008C6730" w:rsidP="008C6730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Mateja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Dimić</w:t>
      </w:r>
      <w:proofErr w:type="spellEnd"/>
    </w:p>
    <w:p w:rsidR="008C6730" w:rsidRDefault="008C6730" w:rsidP="008C6730">
      <w:pPr>
        <w:rPr>
          <w:rFonts w:ascii="Book Antiqua" w:hAnsi="Book Antiqua"/>
        </w:rPr>
      </w:pPr>
    </w:p>
    <w:p w:rsidR="008C6730" w:rsidRPr="008C6730" w:rsidRDefault="008C6730" w:rsidP="008C673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Book Antiqua" w:eastAsia="Times New Roman" w:hAnsi="Book Antiqua" w:cs="Segoe UI"/>
          <w:color w:val="333333"/>
          <w:lang w:eastAsia="hr-HR"/>
        </w:rPr>
      </w:pPr>
      <w:r w:rsidRPr="008C6730">
        <w:rPr>
          <w:rFonts w:ascii="Book Antiqua" w:hAnsi="Book Antiqua"/>
          <w:sz w:val="20"/>
          <w:szCs w:val="20"/>
          <w:lang w:val="hr-HR"/>
        </w:rPr>
        <w:t xml:space="preserve">Od </w:t>
      </w:r>
      <w:r>
        <w:rPr>
          <w:rFonts w:ascii="Book Antiqua" w:hAnsi="Book Antiqua"/>
          <w:sz w:val="20"/>
          <w:szCs w:val="20"/>
          <w:lang w:val="hr-HR"/>
        </w:rPr>
        <w:t>sedam pristiglih prijava</w:t>
      </w:r>
      <w:r w:rsidRPr="008C6730">
        <w:rPr>
          <w:rFonts w:ascii="Book Antiqua" w:hAnsi="Book Antiqua"/>
          <w:sz w:val="20"/>
          <w:szCs w:val="20"/>
          <w:lang w:val="hr-HR"/>
        </w:rPr>
        <w:t xml:space="preserve"> </w:t>
      </w:r>
      <w:r>
        <w:rPr>
          <w:rFonts w:ascii="Book Antiqua" w:hAnsi="Book Antiqua"/>
          <w:sz w:val="20"/>
          <w:szCs w:val="20"/>
          <w:lang w:val="hr-HR"/>
        </w:rPr>
        <w:t>četiri nisu potpune</w:t>
      </w:r>
      <w:r w:rsidRPr="008C6730">
        <w:rPr>
          <w:rFonts w:ascii="Book Antiqua" w:hAnsi="Book Antiqua"/>
          <w:sz w:val="20"/>
          <w:szCs w:val="20"/>
          <w:lang w:val="hr-HR"/>
        </w:rPr>
        <w:t xml:space="preserve">, </w:t>
      </w:r>
      <w:r>
        <w:rPr>
          <w:rFonts w:ascii="Book Antiqua" w:hAnsi="Book Antiqua"/>
          <w:sz w:val="20"/>
          <w:szCs w:val="20"/>
          <w:lang w:val="hr-HR"/>
        </w:rPr>
        <w:t>Josip Oros, Tomislav Rušnov, Kristina Lučić i Patricija Jaredić</w:t>
      </w:r>
      <w:r w:rsidRPr="008C6730">
        <w:rPr>
          <w:rFonts w:ascii="Book Antiqua" w:hAnsi="Book Antiqua"/>
          <w:sz w:val="20"/>
          <w:szCs w:val="20"/>
          <w:lang w:val="hr-HR"/>
        </w:rPr>
        <w:t xml:space="preserve">, </w:t>
      </w:r>
      <w:r>
        <w:rPr>
          <w:rFonts w:ascii="Book Antiqua" w:hAnsi="Book Antiqua"/>
          <w:sz w:val="20"/>
          <w:szCs w:val="20"/>
          <w:lang w:val="hr-HR"/>
        </w:rPr>
        <w:t>nedostaje preslika ugovora o radu ili rješenja o rasporedu ili potvrda</w:t>
      </w:r>
      <w:r w:rsidRPr="008C6730">
        <w:rPr>
          <w:rFonts w:ascii="Book Antiqua" w:hAnsi="Book Antiqua"/>
          <w:sz w:val="20"/>
          <w:szCs w:val="20"/>
          <w:lang w:val="hr-HR"/>
        </w:rPr>
        <w:t xml:space="preserve"> </w:t>
      </w:r>
    </w:p>
    <w:p w:rsidR="008C6730" w:rsidRPr="008C6730" w:rsidRDefault="008C6730" w:rsidP="008C6730">
      <w:pPr>
        <w:rPr>
          <w:rFonts w:ascii="Book Antiqua" w:hAnsi="Book Antiqua"/>
        </w:rPr>
      </w:pP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pozivaju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prethodnu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pismenim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testiranjem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će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provesti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zgradi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Tovarnik, A. G.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Matoša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2, Tovarnik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prostoriji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Općinske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vijećnice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dana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831295" w:rsidP="00167C02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09.07.2020. </w:t>
      </w:r>
      <w:proofErr w:type="spellStart"/>
      <w:proofErr w:type="gramStart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>godine</w:t>
      </w:r>
      <w:proofErr w:type="spellEnd"/>
      <w:proofErr w:type="gramEnd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( </w:t>
      </w:r>
      <w:proofErr w:type="spellStart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>četvrtak</w:t>
      </w:r>
      <w:proofErr w:type="spellEnd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) u 09</w:t>
      </w:r>
      <w:r w:rsidR="006B602E"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t>:00 sati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obavezno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ponijeti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osobnu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iskaznicu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radi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utvrđenja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identiteta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kinje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  <w:proofErr w:type="gramEnd"/>
    </w:p>
    <w:p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>Ukoliko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kinja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dokazati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identitet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  <w:proofErr w:type="gramEnd"/>
    </w:p>
    <w:p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831295" w:rsidRPr="00F07F6A" w:rsidRDefault="00831295" w:rsidP="0083129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>Sukladno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odredbi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22.</w:t>
      </w:r>
      <w:proofErr w:type="gram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(„Narodne novine</w:t>
      </w:r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“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86/08, 61/11, 04/18, 112/19)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smatra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nije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pristupio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povukao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Kandidatima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će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biti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podijeljeno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10 </w:t>
      </w:r>
      <w:proofErr w:type="spellStart"/>
      <w:r w:rsidRPr="00F07F6A">
        <w:rPr>
          <w:rFonts w:ascii="Book Antiqua" w:hAnsi="Book Antiqua"/>
          <w:sz w:val="22"/>
          <w:szCs w:val="22"/>
        </w:rPr>
        <w:t>pitanja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za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provjeru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znanja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</w:p>
    <w:p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F07F6A">
        <w:rPr>
          <w:rFonts w:ascii="Book Antiqua" w:hAnsi="Book Antiqua"/>
          <w:sz w:val="22"/>
          <w:szCs w:val="22"/>
        </w:rPr>
        <w:t>pisanoj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provjeri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kandidati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mogu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ostvariti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F07F6A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Pr="00F07F6A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F07F6A">
        <w:rPr>
          <w:rFonts w:ascii="Book Antiqua" w:hAnsi="Book Antiqua"/>
          <w:sz w:val="22"/>
          <w:szCs w:val="22"/>
        </w:rPr>
        <w:t>bodova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07F6A">
        <w:rPr>
          <w:rFonts w:ascii="Book Antiqua" w:hAnsi="Book Antiqua"/>
          <w:sz w:val="22"/>
          <w:szCs w:val="22"/>
        </w:rPr>
        <w:t>Svaki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točan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odgovor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nosi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F07F6A">
        <w:rPr>
          <w:rFonts w:ascii="Book Antiqua" w:hAnsi="Book Antiqua"/>
          <w:sz w:val="22"/>
          <w:szCs w:val="22"/>
        </w:rPr>
        <w:t>bod</w:t>
      </w:r>
      <w:proofErr w:type="spellEnd"/>
      <w:r w:rsidRPr="00F07F6A">
        <w:rPr>
          <w:rFonts w:ascii="Book Antiqua" w:hAnsi="Book Antiqua"/>
          <w:sz w:val="22"/>
          <w:szCs w:val="22"/>
        </w:rPr>
        <w:t>.</w:t>
      </w:r>
    </w:p>
    <w:p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lastRenderedPageBreak/>
        <w:t>Pisa</w:t>
      </w:r>
      <w:r>
        <w:rPr>
          <w:rFonts w:ascii="Book Antiqua" w:hAnsi="Book Antiqua"/>
          <w:sz w:val="22"/>
          <w:szCs w:val="22"/>
        </w:rPr>
        <w:t xml:space="preserve">no </w:t>
      </w:r>
      <w:proofErr w:type="spellStart"/>
      <w:r>
        <w:rPr>
          <w:rFonts w:ascii="Book Antiqua" w:hAnsi="Book Antiqua"/>
          <w:sz w:val="22"/>
          <w:szCs w:val="22"/>
        </w:rPr>
        <w:t>testiranje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traje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maksimalno</w:t>
      </w:r>
      <w:proofErr w:type="spellEnd"/>
      <w:r>
        <w:rPr>
          <w:rFonts w:ascii="Book Antiqua" w:hAnsi="Book Antiqua"/>
          <w:sz w:val="22"/>
          <w:szCs w:val="22"/>
        </w:rPr>
        <w:t xml:space="preserve"> 6</w:t>
      </w:r>
      <w:r w:rsidRPr="00F07F6A">
        <w:rPr>
          <w:rFonts w:ascii="Book Antiqua" w:hAnsi="Book Antiqua"/>
          <w:sz w:val="22"/>
          <w:szCs w:val="22"/>
        </w:rPr>
        <w:t xml:space="preserve">0 </w:t>
      </w:r>
      <w:proofErr w:type="spellStart"/>
      <w:r w:rsidRPr="00F07F6A">
        <w:rPr>
          <w:rFonts w:ascii="Book Antiqua" w:hAnsi="Book Antiqua"/>
          <w:sz w:val="22"/>
          <w:szCs w:val="22"/>
        </w:rPr>
        <w:t>minuta</w:t>
      </w:r>
      <w:proofErr w:type="spellEnd"/>
      <w:r w:rsidRPr="00F07F6A">
        <w:rPr>
          <w:rFonts w:ascii="Book Antiqua" w:hAnsi="Book Antiqua"/>
          <w:sz w:val="22"/>
          <w:szCs w:val="22"/>
        </w:rPr>
        <w:t>.</w:t>
      </w:r>
    </w:p>
    <w:p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Intervju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07F6A">
        <w:rPr>
          <w:rFonts w:ascii="Book Antiqua" w:hAnsi="Book Antiqua"/>
          <w:sz w:val="22"/>
          <w:szCs w:val="22"/>
        </w:rPr>
        <w:t>provode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samo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 </w:t>
      </w:r>
      <w:proofErr w:type="spellStart"/>
      <w:r w:rsidRPr="00F07F6A">
        <w:rPr>
          <w:rFonts w:ascii="Book Antiqua" w:hAnsi="Book Antiqua"/>
          <w:sz w:val="22"/>
          <w:szCs w:val="22"/>
        </w:rPr>
        <w:t>kandidatima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koji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su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ostvarili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naj</w:t>
      </w:r>
      <w:r>
        <w:rPr>
          <w:rFonts w:ascii="Book Antiqua" w:hAnsi="Book Antiqua"/>
          <w:sz w:val="22"/>
          <w:szCs w:val="22"/>
        </w:rPr>
        <w:t>manje</w:t>
      </w:r>
      <w:proofErr w:type="spellEnd"/>
      <w:r>
        <w:rPr>
          <w:rFonts w:ascii="Book Antiqua" w:hAnsi="Book Antiqua"/>
          <w:sz w:val="22"/>
          <w:szCs w:val="22"/>
        </w:rPr>
        <w:t xml:space="preserve"> 50%  odnosno  </w:t>
      </w:r>
      <w:proofErr w:type="spellStart"/>
      <w:r>
        <w:rPr>
          <w:rFonts w:ascii="Book Antiqua" w:hAnsi="Book Antiqua"/>
          <w:sz w:val="22"/>
          <w:szCs w:val="22"/>
        </w:rPr>
        <w:t>najmanje</w:t>
      </w:r>
      <w:proofErr w:type="spellEnd"/>
      <w:r>
        <w:rPr>
          <w:rFonts w:ascii="Book Antiqua" w:hAnsi="Book Antiqua"/>
          <w:sz w:val="22"/>
          <w:szCs w:val="22"/>
        </w:rPr>
        <w:t xml:space="preserve"> 5 </w:t>
      </w:r>
      <w:proofErr w:type="spellStart"/>
      <w:r>
        <w:rPr>
          <w:rFonts w:ascii="Book Antiqua" w:hAnsi="Book Antiqua"/>
          <w:sz w:val="22"/>
          <w:szCs w:val="22"/>
        </w:rPr>
        <w:t>bodova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provedenom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pisanom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testiranju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to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isti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dan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09.07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.2020.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odmah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po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završetku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pisanog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testiranja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ispravka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pisanih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testova</w:t>
      </w:r>
      <w:proofErr w:type="spellEnd"/>
    </w:p>
    <w:p w:rsidR="00831295" w:rsidRPr="00F07F6A" w:rsidRDefault="00831295" w:rsidP="00831295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Rezultati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intervjua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boduju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se </w:t>
      </w:r>
      <w:proofErr w:type="spellStart"/>
      <w:proofErr w:type="gramStart"/>
      <w:r w:rsidRPr="00F07F6A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Pr="00F07F6A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F07F6A">
        <w:rPr>
          <w:rFonts w:ascii="Book Antiqua" w:hAnsi="Book Antiqua"/>
          <w:sz w:val="22"/>
          <w:szCs w:val="22"/>
        </w:rPr>
        <w:t>bodova</w:t>
      </w:r>
      <w:proofErr w:type="spellEnd"/>
      <w:r w:rsidRPr="00F07F6A">
        <w:rPr>
          <w:rFonts w:ascii="Book Antiqua" w:hAnsi="Book Antiqua"/>
          <w:sz w:val="22"/>
          <w:szCs w:val="22"/>
        </w:rPr>
        <w:t>.</w:t>
      </w:r>
    </w:p>
    <w:p w:rsidR="00831295" w:rsidRPr="00F07F6A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831295" w:rsidRPr="00F07F6A" w:rsidRDefault="00831295" w:rsidP="0083129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Ostale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informacije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vezano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uz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pisano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izvori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iz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kojih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se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provodi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navedeni</w:t>
      </w:r>
      <w:proofErr w:type="spellEnd"/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 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proofErr w:type="gram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internet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Tovarnik ( </w:t>
      </w:r>
      <w:hyperlink r:id="rId9" w:history="1">
        <w:r w:rsidRPr="00F07F6A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oglasnoj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ploči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Tovarnik.</w:t>
      </w:r>
    </w:p>
    <w:p w:rsidR="00831295" w:rsidRDefault="00831295" w:rsidP="0083129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831295" w:rsidRPr="00167C02" w:rsidRDefault="00831295" w:rsidP="0083129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Nakon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provedenog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intervjua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utvrđuje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rang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listu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ukupnom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rezultatu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ostvarenom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intervjuu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831295" w:rsidRPr="00F07F6A" w:rsidRDefault="00831295" w:rsidP="0083129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hAnsi="Book Antiqua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       </w:t>
      </w:r>
    </w:p>
    <w:p w:rsidR="006B602E" w:rsidRPr="00167C02" w:rsidRDefault="006B602E" w:rsidP="006B602E">
      <w:pPr>
        <w:pStyle w:val="Default"/>
        <w:ind w:firstLine="720"/>
        <w:rPr>
          <w:rFonts w:ascii="Book Antiqua" w:hAnsi="Book Antiqua"/>
          <w:sz w:val="22"/>
          <w:szCs w:val="22"/>
        </w:rPr>
      </w:pPr>
    </w:p>
    <w:p w:rsidR="006B602E" w:rsidRPr="00167C02" w:rsidRDefault="006B602E" w:rsidP="006B602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B602E" w:rsidRPr="00167C02" w:rsidRDefault="006B602E" w:rsidP="006B602E">
      <w:pPr>
        <w:jc w:val="right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Predsjednik Povjerenstva za provedbu oglasa</w:t>
      </w:r>
    </w:p>
    <w:p w:rsidR="006B602E" w:rsidRPr="00167C02" w:rsidRDefault="006B602E" w:rsidP="006B602E">
      <w:pPr>
        <w:jc w:val="center"/>
        <w:rPr>
          <w:rFonts w:ascii="Book Antiqua" w:hAnsi="Book Antiqua"/>
        </w:rPr>
      </w:pPr>
      <w:r w:rsidRPr="00167C02">
        <w:rPr>
          <w:rFonts w:ascii="Book Antiqua" w:hAnsi="Book Antiqua"/>
          <w:lang w:val="de-DE"/>
        </w:rPr>
        <w:t xml:space="preserve">                                                                           </w:t>
      </w:r>
      <w:r w:rsidR="00167C02" w:rsidRPr="00167C02">
        <w:rPr>
          <w:rFonts w:ascii="Book Antiqua" w:hAnsi="Book Antiqua"/>
          <w:lang w:val="de-DE"/>
        </w:rPr>
        <w:t xml:space="preserve">                                     </w:t>
      </w:r>
      <w:proofErr w:type="spellStart"/>
      <w:r w:rsidR="00831295">
        <w:rPr>
          <w:rFonts w:ascii="Book Antiqua" w:hAnsi="Book Antiqua"/>
        </w:rPr>
        <w:t>Mladen</w:t>
      </w:r>
      <w:proofErr w:type="spellEnd"/>
      <w:r w:rsidR="00831295">
        <w:rPr>
          <w:rFonts w:ascii="Book Antiqua" w:hAnsi="Book Antiqua"/>
        </w:rPr>
        <w:t xml:space="preserve"> </w:t>
      </w:r>
      <w:proofErr w:type="spellStart"/>
      <w:r w:rsidR="00831295">
        <w:rPr>
          <w:rFonts w:ascii="Book Antiqua" w:hAnsi="Book Antiqua"/>
        </w:rPr>
        <w:t>Markešić</w:t>
      </w:r>
      <w:proofErr w:type="spellEnd"/>
    </w:p>
    <w:p w:rsidR="000627D8" w:rsidRPr="00167C02" w:rsidRDefault="000627D8">
      <w:pPr>
        <w:rPr>
          <w:rFonts w:ascii="Book Antiqua" w:hAnsi="Book Antiqua"/>
        </w:rPr>
      </w:pPr>
    </w:p>
    <w:sectPr w:rsidR="000627D8" w:rsidRPr="00167C02" w:rsidSect="00DC7BA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CF" w:rsidRDefault="00A32FCF">
      <w:pPr>
        <w:spacing w:after="0" w:line="240" w:lineRule="auto"/>
      </w:pPr>
      <w:r>
        <w:separator/>
      </w:r>
    </w:p>
  </w:endnote>
  <w:endnote w:type="continuationSeparator" w:id="0">
    <w:p w:rsidR="00A32FCF" w:rsidRDefault="00A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5" w:rsidRDefault="00564D9E">
    <w:pPr>
      <w:pStyle w:val="Footer"/>
      <w:jc w:val="right"/>
    </w:pPr>
    <w:r>
      <w:fldChar w:fldCharType="begin"/>
    </w:r>
    <w:r w:rsidR="00167C02">
      <w:instrText xml:space="preserve"> PAGE   \* MERGEFORMAT </w:instrText>
    </w:r>
    <w:r>
      <w:fldChar w:fldCharType="separate"/>
    </w:r>
    <w:r w:rsidR="00793A2D">
      <w:rPr>
        <w:noProof/>
      </w:rPr>
      <w:t>1</w:t>
    </w:r>
    <w:r>
      <w:rPr>
        <w:noProof/>
      </w:rPr>
      <w:fldChar w:fldCharType="end"/>
    </w:r>
  </w:p>
  <w:p w:rsidR="00676785" w:rsidRDefault="00A32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CF" w:rsidRDefault="00A32FCF">
      <w:pPr>
        <w:spacing w:after="0" w:line="240" w:lineRule="auto"/>
      </w:pPr>
      <w:r>
        <w:separator/>
      </w:r>
    </w:p>
  </w:footnote>
  <w:footnote w:type="continuationSeparator" w:id="0">
    <w:p w:rsidR="00A32FCF" w:rsidRDefault="00A3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071"/>
    <w:multiLevelType w:val="hybridMultilevel"/>
    <w:tmpl w:val="F5A8E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739"/>
    <w:multiLevelType w:val="hybridMultilevel"/>
    <w:tmpl w:val="53C65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7233"/>
    <w:multiLevelType w:val="hybridMultilevel"/>
    <w:tmpl w:val="DD221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63D0"/>
    <w:multiLevelType w:val="hybridMultilevel"/>
    <w:tmpl w:val="43C06A20"/>
    <w:lvl w:ilvl="0" w:tplc="2EACD816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b w:val="0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404"/>
    <w:multiLevelType w:val="hybridMultilevel"/>
    <w:tmpl w:val="8EEC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36F10"/>
    <w:multiLevelType w:val="hybridMultilevel"/>
    <w:tmpl w:val="2F485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56691"/>
    <w:multiLevelType w:val="hybridMultilevel"/>
    <w:tmpl w:val="DEAAB892"/>
    <w:lvl w:ilvl="0" w:tplc="BAFC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2E"/>
    <w:rsid w:val="000627D8"/>
    <w:rsid w:val="000B5D13"/>
    <w:rsid w:val="00134FEE"/>
    <w:rsid w:val="00167C02"/>
    <w:rsid w:val="0033375B"/>
    <w:rsid w:val="00356E10"/>
    <w:rsid w:val="00564D9E"/>
    <w:rsid w:val="006B602E"/>
    <w:rsid w:val="00793A2D"/>
    <w:rsid w:val="00831295"/>
    <w:rsid w:val="008A0535"/>
    <w:rsid w:val="008C6730"/>
    <w:rsid w:val="00A3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0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2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C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9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2020-07-03T11:23:00Z</cp:lastPrinted>
  <dcterms:created xsi:type="dcterms:W3CDTF">2020-07-03T12:06:00Z</dcterms:created>
  <dcterms:modified xsi:type="dcterms:W3CDTF">2020-07-07T07:27:00Z</dcterms:modified>
</cp:coreProperties>
</file>