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7290E6A" wp14:editId="2D1AF770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487634" w:rsidRPr="001F0ABF" w:rsidRDefault="00487634" w:rsidP="00487634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E9351FC" wp14:editId="74BD29A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487634" w:rsidRPr="001F0ABF" w:rsidRDefault="00487634" w:rsidP="00487634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022-05/20-02/06</w:t>
      </w: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</w:t>
      </w:r>
      <w:r w:rsidR="00D675EE">
        <w:rPr>
          <w:rFonts w:ascii="Book Antiqua" w:hAnsi="Book Antiqua"/>
          <w:lang w:eastAsia="hr-HR"/>
        </w:rPr>
        <w:t>12</w:t>
      </w:r>
    </w:p>
    <w:p w:rsidR="00487634" w:rsidRPr="001F0ABF" w:rsidRDefault="00487634" w:rsidP="00487634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15.5.2020. </w:t>
      </w:r>
    </w:p>
    <w:p w:rsidR="00487634" w:rsidRPr="001F0ABF" w:rsidRDefault="00487634" w:rsidP="00487634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487634" w:rsidRPr="001F0ABF" w:rsidRDefault="00487634" w:rsidP="00487634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487634" w:rsidRPr="001F0ABF" w:rsidRDefault="00487634" w:rsidP="00487634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487634" w:rsidRPr="00D675EE" w:rsidRDefault="00487634" w:rsidP="00487634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hr-HR"/>
        </w:rPr>
      </w:pPr>
    </w:p>
    <w:p w:rsidR="00487634" w:rsidRPr="00D675EE" w:rsidRDefault="00487634" w:rsidP="00487634">
      <w:pPr>
        <w:rPr>
          <w:rFonts w:ascii="Book Antiqua" w:hAnsi="Book Antiqua"/>
          <w:b/>
          <w:sz w:val="20"/>
          <w:szCs w:val="20"/>
        </w:rPr>
      </w:pPr>
      <w:r w:rsidRPr="00D675EE">
        <w:rPr>
          <w:rFonts w:ascii="Book Antiqua" w:eastAsia="Times New Roman" w:hAnsi="Book Antiqua" w:cs="Times New Roman"/>
          <w:b/>
          <w:bCs/>
          <w:sz w:val="20"/>
          <w:szCs w:val="20"/>
          <w:lang w:eastAsia="hr-HR"/>
        </w:rPr>
        <w:t xml:space="preserve">PREDMET: </w:t>
      </w:r>
      <w:r w:rsidRPr="00D675EE">
        <w:rPr>
          <w:rFonts w:ascii="Book Antiqua" w:hAnsi="Book Antiqua"/>
          <w:b/>
          <w:sz w:val="20"/>
          <w:szCs w:val="20"/>
        </w:rPr>
        <w:t xml:space="preserve">prijedlog odluke o usvajanju </w:t>
      </w:r>
      <w:r w:rsidRPr="00D675EE">
        <w:rPr>
          <w:rFonts w:ascii="Book Antiqua" w:hAnsi="Book Antiqua"/>
          <w:b/>
          <w:sz w:val="20"/>
          <w:szCs w:val="20"/>
        </w:rPr>
        <w:t>godišnjeg izvješta</w:t>
      </w:r>
      <w:r w:rsidR="00D675EE" w:rsidRPr="00D675EE">
        <w:rPr>
          <w:rFonts w:ascii="Book Antiqua" w:hAnsi="Book Antiqua"/>
          <w:b/>
          <w:sz w:val="20"/>
          <w:szCs w:val="20"/>
        </w:rPr>
        <w:t xml:space="preserve">ja o izvršenju </w:t>
      </w:r>
      <w:proofErr w:type="spellStart"/>
      <w:r w:rsidR="00D675EE" w:rsidRPr="00D675EE">
        <w:rPr>
          <w:rFonts w:ascii="Book Antiqua" w:hAnsi="Book Antiqua"/>
          <w:b/>
          <w:sz w:val="20"/>
          <w:szCs w:val="20"/>
        </w:rPr>
        <w:t>proračna</w:t>
      </w:r>
      <w:proofErr w:type="spellEnd"/>
      <w:r w:rsidR="00D675EE" w:rsidRPr="00D675EE">
        <w:rPr>
          <w:rFonts w:ascii="Book Antiqua" w:hAnsi="Book Antiqua"/>
          <w:b/>
          <w:sz w:val="20"/>
          <w:szCs w:val="20"/>
        </w:rPr>
        <w:t xml:space="preserve"> Općine </w:t>
      </w:r>
      <w:proofErr w:type="spellStart"/>
      <w:r w:rsidR="00D675EE" w:rsidRPr="00D675EE">
        <w:rPr>
          <w:rFonts w:ascii="Book Antiqua" w:hAnsi="Book Antiqua"/>
          <w:b/>
          <w:sz w:val="20"/>
          <w:szCs w:val="20"/>
        </w:rPr>
        <w:t>T</w:t>
      </w:r>
      <w:r w:rsidRPr="00D675EE">
        <w:rPr>
          <w:rFonts w:ascii="Book Antiqua" w:hAnsi="Book Antiqua"/>
          <w:b/>
          <w:sz w:val="20"/>
          <w:szCs w:val="20"/>
        </w:rPr>
        <w:t>ovarnik</w:t>
      </w:r>
      <w:proofErr w:type="spellEnd"/>
      <w:r w:rsidRPr="00D675EE">
        <w:rPr>
          <w:rFonts w:ascii="Book Antiqua" w:hAnsi="Book Antiqua"/>
          <w:b/>
          <w:sz w:val="20"/>
          <w:szCs w:val="20"/>
        </w:rPr>
        <w:t xml:space="preserve"> za 2019. god. </w:t>
      </w:r>
    </w:p>
    <w:p w:rsidR="00487634" w:rsidRPr="00D675EE" w:rsidRDefault="00487634" w:rsidP="00487634">
      <w:pPr>
        <w:spacing w:after="0" w:line="240" w:lineRule="auto"/>
        <w:ind w:right="23"/>
        <w:jc w:val="both"/>
        <w:rPr>
          <w:rFonts w:ascii="Book Antiqua" w:eastAsia="Calibri" w:hAnsi="Book Antiqua" w:cs="Times New Roman"/>
          <w:sz w:val="20"/>
          <w:szCs w:val="20"/>
        </w:rPr>
      </w:pPr>
      <w:r w:rsidRPr="00D675EE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PRAVNA OSNOVA: </w:t>
      </w:r>
      <w:r w:rsidRPr="00D675EE">
        <w:rPr>
          <w:rFonts w:ascii="Book Antiqua" w:eastAsia="Times New Roman" w:hAnsi="Book Antiqua" w:cs="Times New Roman"/>
          <w:color w:val="000000"/>
          <w:sz w:val="20"/>
          <w:szCs w:val="20"/>
          <w:lang w:eastAsia="hr-HR"/>
        </w:rPr>
        <w:t xml:space="preserve">članak 31. Statuta Općine </w:t>
      </w:r>
      <w:proofErr w:type="spellStart"/>
      <w:r w:rsidRPr="00D675EE">
        <w:rPr>
          <w:rFonts w:ascii="Book Antiqua" w:eastAsia="Times New Roman" w:hAnsi="Book Antiqua" w:cs="Times New Roman"/>
          <w:color w:val="000000"/>
          <w:sz w:val="20"/>
          <w:szCs w:val="20"/>
          <w:lang w:eastAsia="hr-HR"/>
        </w:rPr>
        <w:t>Tovarnik</w:t>
      </w:r>
      <w:proofErr w:type="spellEnd"/>
      <w:r w:rsidRPr="00D675EE">
        <w:rPr>
          <w:rFonts w:ascii="Book Antiqua" w:eastAsia="Times New Roman" w:hAnsi="Book Antiqua" w:cs="Times New Roman"/>
          <w:color w:val="000000"/>
          <w:sz w:val="20"/>
          <w:szCs w:val="20"/>
          <w:lang w:eastAsia="hr-HR"/>
        </w:rPr>
        <w:t xml:space="preserve">  ( Službeni vjesnik  Vukovarsko-srijemske županije, broj </w:t>
      </w:r>
      <w:r w:rsidRPr="00D675EE">
        <w:rPr>
          <w:rFonts w:ascii="Book Antiqua" w:eastAsia="Calibri" w:hAnsi="Book Antiqua" w:cs="Times New Roman"/>
          <w:sz w:val="20"/>
          <w:szCs w:val="20"/>
        </w:rPr>
        <w:t>4/13, 14/13, 1/18, 6/18, 3/20</w:t>
      </w:r>
      <w:r w:rsidRPr="00D675EE">
        <w:rPr>
          <w:rFonts w:ascii="Book Antiqua" w:eastAsia="Times New Roman" w:hAnsi="Book Antiqua" w:cs="Times New Roman"/>
          <w:color w:val="000000"/>
          <w:sz w:val="20"/>
          <w:szCs w:val="20"/>
          <w:lang w:eastAsia="hr-HR"/>
        </w:rPr>
        <w:t>)</w:t>
      </w:r>
      <w:r w:rsidRPr="00D675EE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D675EE">
        <w:rPr>
          <w:rFonts w:ascii="Book Antiqua" w:hAnsi="Book Antiqua" w:cs="Times New Roman"/>
          <w:color w:val="000000"/>
          <w:sz w:val="20"/>
          <w:szCs w:val="20"/>
        </w:rPr>
        <w:t xml:space="preserve">110. Zakona o proračunu (Narodne novine br.87/08, 136/12, </w:t>
      </w:r>
      <w:r w:rsidRPr="00D675EE">
        <w:rPr>
          <w:rFonts w:ascii="Book Antiqua" w:hAnsi="Book Antiqua" w:cs="Times New Roman"/>
          <w:sz w:val="20"/>
          <w:szCs w:val="20"/>
        </w:rPr>
        <w:t>15/15),</w:t>
      </w:r>
      <w:r w:rsidRPr="00D675EE">
        <w:rPr>
          <w:rFonts w:ascii="Book Antiqua" w:hAnsi="Book Antiqua" w:cs="Times New Roman"/>
          <w:color w:val="000000"/>
          <w:sz w:val="20"/>
          <w:szCs w:val="20"/>
        </w:rPr>
        <w:t xml:space="preserve"> članka 16. i 17. </w:t>
      </w:r>
      <w:r w:rsidRPr="00D675EE">
        <w:rPr>
          <w:rFonts w:ascii="Book Antiqua" w:hAnsi="Book Antiqua" w:cs="Times New Roman"/>
          <w:sz w:val="20"/>
          <w:szCs w:val="20"/>
        </w:rPr>
        <w:t>Pravilnika o polugodišnjem i godišnjem izvještaju o izvršenju proračuna (Narodne novine br.24/13, 102/17 i 1/20),</w:t>
      </w:r>
    </w:p>
    <w:p w:rsidR="00487634" w:rsidRPr="00D675EE" w:rsidRDefault="00487634" w:rsidP="0048763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:rsidR="00487634" w:rsidRPr="00D675EE" w:rsidRDefault="00487634" w:rsidP="0048763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D675EE"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PREDLAGATELJ: Načelnica Općine </w:t>
      </w:r>
      <w:proofErr w:type="spellStart"/>
      <w:r w:rsidRPr="00D675EE">
        <w:rPr>
          <w:rFonts w:ascii="Book Antiqua" w:eastAsia="Times New Roman" w:hAnsi="Book Antiqua" w:cs="Times New Roman"/>
          <w:sz w:val="20"/>
          <w:szCs w:val="20"/>
          <w:lang w:eastAsia="hr-HR"/>
        </w:rPr>
        <w:t>Tovarnik</w:t>
      </w:r>
      <w:proofErr w:type="spellEnd"/>
    </w:p>
    <w:p w:rsidR="00487634" w:rsidRDefault="00487634" w:rsidP="0048763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 w:rsidRPr="00D675EE">
        <w:rPr>
          <w:rFonts w:ascii="Book Antiqua" w:eastAsia="Times New Roman" w:hAnsi="Book Antiqua" w:cs="Times New Roman"/>
          <w:sz w:val="20"/>
          <w:szCs w:val="20"/>
          <w:lang w:eastAsia="hr-HR"/>
        </w:rPr>
        <w:t>NADLEŽNOST ZA DONOŠENJE: Općinsko vijeće</w:t>
      </w:r>
    </w:p>
    <w:p w:rsidR="00AF5F60" w:rsidRPr="00D675EE" w:rsidRDefault="00AF5F60" w:rsidP="0048763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sz w:val="20"/>
          <w:szCs w:val="20"/>
          <w:lang w:eastAsia="hr-HR"/>
        </w:rPr>
      </w:pPr>
      <w:r>
        <w:rPr>
          <w:rFonts w:ascii="Book Antiqua" w:eastAsia="Times New Roman" w:hAnsi="Book Antiqua" w:cs="Times New Roman"/>
          <w:sz w:val="20"/>
          <w:szCs w:val="20"/>
          <w:lang w:eastAsia="hr-HR"/>
        </w:rPr>
        <w:t xml:space="preserve">PRILOZI: Godišnje izvješće o izvršenju proračuna za 2019. god. </w:t>
      </w:r>
      <w:bookmarkStart w:id="0" w:name="_GoBack"/>
      <w:bookmarkEnd w:id="0"/>
    </w:p>
    <w:p w:rsidR="00487634" w:rsidRPr="00D675EE" w:rsidRDefault="00487634" w:rsidP="00487634">
      <w:pPr>
        <w:rPr>
          <w:rFonts w:ascii="Book Antiqua" w:hAnsi="Book Antiqua"/>
          <w:sz w:val="20"/>
          <w:szCs w:val="20"/>
          <w:lang w:eastAsia="hr-HR"/>
        </w:rPr>
      </w:pPr>
      <w:r w:rsidRPr="00D675EE">
        <w:rPr>
          <w:rFonts w:ascii="Book Antiqua" w:hAnsi="Book Antiqua"/>
          <w:sz w:val="20"/>
          <w:szCs w:val="20"/>
          <w:lang w:eastAsia="hr-HR"/>
        </w:rPr>
        <w:t xml:space="preserve">TEKST PRIJEDLOGA: </w:t>
      </w:r>
    </w:p>
    <w:p w:rsidR="00DC0BAC" w:rsidRPr="00DC0BAC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87634">
        <w:rPr>
          <w:rFonts w:ascii="Times New Roman" w:hAnsi="Times New Roman" w:cs="Times New Roman"/>
          <w:b/>
          <w:bCs/>
          <w:sz w:val="20"/>
          <w:szCs w:val="20"/>
        </w:rPr>
        <w:t xml:space="preserve">O D L U K A </w:t>
      </w:r>
    </w:p>
    <w:p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>o usvajanju godišnjeg izvještaja  o izvršenju Proračuna</w:t>
      </w:r>
    </w:p>
    <w:p w:rsidR="00DC0BAC" w:rsidRPr="007601FE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>općine T</w:t>
      </w:r>
      <w:r w:rsidR="005D2F1A">
        <w:rPr>
          <w:rFonts w:ascii="Times New Roman" w:hAnsi="Times New Roman" w:cs="Times New Roman"/>
          <w:sz w:val="20"/>
          <w:szCs w:val="20"/>
        </w:rPr>
        <w:t>ovarnik</w:t>
      </w:r>
      <w:r w:rsidRPr="006419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601FE">
        <w:rPr>
          <w:rFonts w:ascii="Times New Roman" w:hAnsi="Times New Roman" w:cs="Times New Roman"/>
          <w:color w:val="000000"/>
          <w:sz w:val="20"/>
          <w:szCs w:val="20"/>
        </w:rPr>
        <w:t>2019. godinu</w:t>
      </w:r>
    </w:p>
    <w:p w:rsidR="0064197B" w:rsidRPr="0064197B" w:rsidRDefault="0064197B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 OPĆI</w:t>
      </w:r>
    </w:p>
    <w:p w:rsidR="00D675EE" w:rsidRDefault="00D675EE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4197B" w:rsidRP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:rsidR="0064197B" w:rsidRDefault="0064197B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197B">
        <w:rPr>
          <w:rFonts w:ascii="Times New Roman" w:hAnsi="Times New Roman" w:cs="Times New Roman"/>
          <w:color w:val="000000"/>
          <w:sz w:val="20"/>
          <w:szCs w:val="20"/>
        </w:rPr>
        <w:t>Godišnji izvještaj o izvrš</w:t>
      </w:r>
      <w:r w:rsidR="005D2F1A">
        <w:rPr>
          <w:rFonts w:ascii="Times New Roman" w:hAnsi="Times New Roman" w:cs="Times New Roman"/>
          <w:color w:val="000000"/>
          <w:sz w:val="20"/>
          <w:szCs w:val="20"/>
        </w:rPr>
        <w:t>enju Proračuna Općine Tovarnik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za 2019. godinu (u daljnjem tekstu: Proračun) sadrži:</w:t>
      </w:r>
    </w:p>
    <w:p w:rsidR="003968FD" w:rsidRPr="00B95B26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2018.</w:t>
      </w:r>
      <w:r>
        <w:rPr>
          <w:rFonts w:ascii="Times New Roman" w:hAnsi="Times New Roman"/>
          <w:kern w:val="0"/>
          <w:sz w:val="20"/>
          <w:szCs w:val="20"/>
        </w:rPr>
        <w:tab/>
        <w:t>Plan 2019.          Izvršenje 2019.</w:t>
      </w:r>
    </w:p>
    <w:p w:rsidR="003968FD" w:rsidRPr="00F6155F" w:rsidRDefault="003968FD" w:rsidP="003968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968FD" w:rsidRPr="00731BED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3968FD" w:rsidRPr="009113F3" w:rsidTr="0071681C">
        <w:tc>
          <w:tcPr>
            <w:tcW w:w="4251" w:type="dxa"/>
          </w:tcPr>
          <w:p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3968FD" w:rsidRPr="009113F3" w:rsidRDefault="00C20F5B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11.286.229</w:t>
            </w:r>
            <w:r w:rsidR="008B1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3" w:type="dxa"/>
          </w:tcPr>
          <w:p w:rsidR="003968FD" w:rsidRPr="009113F3" w:rsidRDefault="005D2F1A" w:rsidP="005D2F1A">
            <w:pPr>
              <w:tabs>
                <w:tab w:val="right" w:pos="14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12.699.777,48</w:t>
            </w:r>
            <w:r w:rsidR="003968FD"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3968FD" w:rsidRPr="009113F3" w:rsidRDefault="0050291C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12.432.822,89</w:t>
            </w:r>
            <w:r w:rsidR="00C20F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kn</w:t>
            </w:r>
          </w:p>
        </w:tc>
      </w:tr>
      <w:tr w:rsidR="003968FD" w:rsidRPr="009113F3" w:rsidTr="0071681C">
        <w:tc>
          <w:tcPr>
            <w:tcW w:w="4251" w:type="dxa"/>
          </w:tcPr>
          <w:p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3968FD" w:rsidRPr="009113F3" w:rsidRDefault="008B1568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65.585,00 kn</w:t>
            </w:r>
          </w:p>
        </w:tc>
        <w:tc>
          <w:tcPr>
            <w:tcW w:w="1703" w:type="dxa"/>
          </w:tcPr>
          <w:p w:rsidR="003968FD" w:rsidRPr="009113F3" w:rsidRDefault="003968FD" w:rsidP="005D2F1A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8FD" w:rsidRPr="00EC1CC0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68FD" w:rsidRPr="009113F3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3968FD" w:rsidRPr="009113F3" w:rsidTr="0071681C">
        <w:tc>
          <w:tcPr>
            <w:tcW w:w="1809" w:type="dxa"/>
          </w:tcPr>
          <w:p w:rsidR="003968FD" w:rsidRPr="009113F3" w:rsidRDefault="00391372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11.351.814,00 kn</w:t>
            </w:r>
            <w:r w:rsidR="00C20F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3968FD" w:rsidRPr="00391372" w:rsidRDefault="00391372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1372">
              <w:rPr>
                <w:rFonts w:ascii="Arial" w:hAnsi="Arial" w:cs="Arial"/>
                <w:sz w:val="18"/>
                <w:szCs w:val="18"/>
              </w:rPr>
              <w:t>12.699.777</w:t>
            </w:r>
            <w:r>
              <w:rPr>
                <w:rFonts w:ascii="Arial" w:hAnsi="Arial" w:cs="Arial"/>
                <w:sz w:val="18"/>
                <w:szCs w:val="18"/>
              </w:rPr>
              <w:t>,00kn</w:t>
            </w:r>
          </w:p>
        </w:tc>
        <w:tc>
          <w:tcPr>
            <w:tcW w:w="1525" w:type="dxa"/>
          </w:tcPr>
          <w:p w:rsidR="003968FD" w:rsidRPr="00394303" w:rsidRDefault="003968FD" w:rsidP="0071681C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91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12.432.822,89 </w:t>
            </w:r>
          </w:p>
        </w:tc>
      </w:tr>
    </w:tbl>
    <w:p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3968FD" w:rsidRPr="009113F3" w:rsidTr="000A6CAA">
        <w:tc>
          <w:tcPr>
            <w:tcW w:w="4251" w:type="dxa"/>
          </w:tcPr>
          <w:p w:rsidR="003968FD" w:rsidRPr="009113F3" w:rsidRDefault="000A6CAA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3968FD" w:rsidRPr="009113F3" w:rsidRDefault="00391372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9.425,400,00</w:t>
            </w:r>
            <w:r w:rsidR="003968FD"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:rsidR="003968FD" w:rsidRPr="009113F3" w:rsidRDefault="0050291C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10.113.870,77</w:t>
            </w:r>
            <w:r w:rsidR="003968FD"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</w:t>
            </w:r>
          </w:p>
        </w:tc>
        <w:tc>
          <w:tcPr>
            <w:tcW w:w="1525" w:type="dxa"/>
          </w:tcPr>
          <w:p w:rsidR="003968FD" w:rsidRPr="00EC1CC0" w:rsidRDefault="0050291C" w:rsidP="0071681C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9.709.896,45</w:t>
            </w:r>
            <w:r w:rsidR="003968FD"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</w:t>
            </w:r>
          </w:p>
        </w:tc>
      </w:tr>
      <w:tr w:rsidR="003968FD" w:rsidRPr="009113F3" w:rsidTr="000A6CAA">
        <w:tc>
          <w:tcPr>
            <w:tcW w:w="4251" w:type="dxa"/>
          </w:tcPr>
          <w:p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3968FD" w:rsidRPr="009113F3" w:rsidRDefault="0050291C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3.684.632,00</w:t>
            </w:r>
            <w:r w:rsidR="003968FD"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3968FD" w:rsidRPr="009113F3" w:rsidRDefault="0050291C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3.719.902,74</w:t>
            </w:r>
            <w:r w:rsidR="000A6C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968FD" w:rsidRPr="00EC1CC0" w:rsidRDefault="0050291C" w:rsidP="0071681C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3.658.331,99</w:t>
            </w:r>
            <w:r w:rsidR="003968FD"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kn</w:t>
            </w:r>
          </w:p>
        </w:tc>
      </w:tr>
    </w:tbl>
    <w:p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492"/>
      </w:tblGrid>
      <w:tr w:rsidR="003968FD" w:rsidRPr="009113F3" w:rsidTr="0071681C">
        <w:tc>
          <w:tcPr>
            <w:tcW w:w="1668" w:type="dxa"/>
          </w:tcPr>
          <w:p w:rsidR="003968FD" w:rsidRPr="009113F3" w:rsidRDefault="0050291C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13.110.032,00 kn</w:t>
            </w:r>
          </w:p>
        </w:tc>
        <w:tc>
          <w:tcPr>
            <w:tcW w:w="1768" w:type="dxa"/>
          </w:tcPr>
          <w:p w:rsidR="003968FD" w:rsidRPr="009113F3" w:rsidRDefault="00DE64BE" w:rsidP="000A6CAA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13.833.773,00 kn</w:t>
            </w:r>
          </w:p>
        </w:tc>
        <w:tc>
          <w:tcPr>
            <w:tcW w:w="1492" w:type="dxa"/>
          </w:tcPr>
          <w:p w:rsidR="003968FD" w:rsidRPr="0039430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64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13.368.229,00</w:t>
            </w:r>
          </w:p>
        </w:tc>
      </w:tr>
    </w:tbl>
    <w:p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B95B26" w:rsidTr="0071681C">
        <w:trPr>
          <w:trHeight w:val="346"/>
        </w:trPr>
        <w:tc>
          <w:tcPr>
            <w:tcW w:w="4253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3968FD" w:rsidRPr="005429B3" w:rsidRDefault="00391372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-1.758.218,00</w:t>
            </w:r>
            <w:r w:rsidR="003968FD"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3968FD" w:rsidRPr="005429B3" w:rsidRDefault="0050291C" w:rsidP="000A6CA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-1.133.996,03</w:t>
            </w:r>
          </w:p>
        </w:tc>
        <w:tc>
          <w:tcPr>
            <w:tcW w:w="1525" w:type="dxa"/>
          </w:tcPr>
          <w:p w:rsidR="003968FD" w:rsidRPr="005429B3" w:rsidRDefault="0050291C" w:rsidP="000A6C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-935.406,55</w:t>
            </w:r>
            <w:r w:rsidR="003968FD"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kn</w:t>
            </w:r>
          </w:p>
        </w:tc>
      </w:tr>
    </w:tbl>
    <w:p w:rsidR="003968FD" w:rsidRPr="00B95B26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25"/>
      </w:tblGrid>
      <w:tr w:rsidR="003968FD" w:rsidRPr="00B95B26" w:rsidTr="0071681C">
        <w:trPr>
          <w:trHeight w:val="251"/>
        </w:trPr>
        <w:tc>
          <w:tcPr>
            <w:tcW w:w="4252" w:type="dxa"/>
          </w:tcPr>
          <w:p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Ukupan donos viška/manjka iz predhodnih godina</w:t>
            </w:r>
          </w:p>
        </w:tc>
        <w:tc>
          <w:tcPr>
            <w:tcW w:w="1558" w:type="dxa"/>
          </w:tcPr>
          <w:p w:rsidR="003968FD" w:rsidRPr="005429B3" w:rsidRDefault="00C54DF0" w:rsidP="00EF5992">
            <w:pPr>
              <w:pStyle w:val="Odlomakpopisa"/>
              <w:spacing w:after="0" w:line="240" w:lineRule="auto"/>
              <w:ind w:left="0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 w:rsidR="00391372">
              <w:rPr>
                <w:rFonts w:ascii="Tahoma" w:hAnsi="Tahoma" w:cs="Tahoma"/>
                <w:kern w:val="0"/>
                <w:sz w:val="18"/>
                <w:szCs w:val="18"/>
              </w:rPr>
              <w:t>1.535.075,00</w:t>
            </w:r>
          </w:p>
        </w:tc>
        <w:tc>
          <w:tcPr>
            <w:tcW w:w="1843" w:type="dxa"/>
          </w:tcPr>
          <w:p w:rsidR="003968FD" w:rsidRPr="005429B3" w:rsidRDefault="003968FD" w:rsidP="000A6CAA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2973">
              <w:rPr>
                <w:rFonts w:ascii="Times New Roman" w:hAnsi="Times New Roman"/>
                <w:color w:val="000000"/>
                <w:sz w:val="18"/>
                <w:szCs w:val="18"/>
              </w:rPr>
              <w:t>945.406,55</w:t>
            </w:r>
          </w:p>
        </w:tc>
        <w:tc>
          <w:tcPr>
            <w:tcW w:w="1525" w:type="dxa"/>
          </w:tcPr>
          <w:p w:rsidR="003968FD" w:rsidRPr="003968FD" w:rsidRDefault="00AB2973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Cs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>589.656,00</w:t>
            </w:r>
          </w:p>
        </w:tc>
      </w:tr>
      <w:tr w:rsidR="003968FD" w:rsidRPr="00B95B26" w:rsidTr="0071681C">
        <w:tc>
          <w:tcPr>
            <w:tcW w:w="4252" w:type="dxa"/>
          </w:tcPr>
          <w:p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kn</w:t>
            </w:r>
          </w:p>
        </w:tc>
        <w:tc>
          <w:tcPr>
            <w:tcW w:w="1843" w:type="dxa"/>
          </w:tcPr>
          <w:p w:rsidR="003968FD" w:rsidRPr="003968FD" w:rsidRDefault="003968FD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kn</w:t>
            </w:r>
          </w:p>
        </w:tc>
        <w:tc>
          <w:tcPr>
            <w:tcW w:w="1525" w:type="dxa"/>
          </w:tcPr>
          <w:p w:rsidR="003968FD" w:rsidRPr="003968FD" w:rsidRDefault="003968FD" w:rsidP="0071681C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968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kn</w:t>
            </w:r>
          </w:p>
        </w:tc>
      </w:tr>
    </w:tbl>
    <w:p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3968FD" w:rsidRPr="00B95B26" w:rsidTr="0071681C">
        <w:tc>
          <w:tcPr>
            <w:tcW w:w="4253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:rsidTr="0071681C">
        <w:tc>
          <w:tcPr>
            <w:tcW w:w="4253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968FD" w:rsidRPr="00B95B26" w:rsidRDefault="00EF5992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3968FD"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25" w:type="dxa"/>
          </w:tcPr>
          <w:p w:rsidR="003968FD" w:rsidRPr="00B95B26" w:rsidRDefault="00EF5992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3968FD" w:rsidRPr="00B95B26" w:rsidTr="0071681C">
        <w:tc>
          <w:tcPr>
            <w:tcW w:w="4253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8FD" w:rsidRPr="00B95B26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8"/>
        <w:gridCol w:w="1843"/>
        <w:gridCol w:w="1524"/>
      </w:tblGrid>
      <w:tr w:rsidR="003968FD" w:rsidRPr="00B95B26" w:rsidTr="0071681C">
        <w:tc>
          <w:tcPr>
            <w:tcW w:w="4253" w:type="dxa"/>
          </w:tcPr>
          <w:p w:rsidR="003968FD" w:rsidRPr="00B95B26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843" w:type="dxa"/>
          </w:tcPr>
          <w:p w:rsidR="003968FD" w:rsidRPr="005429B3" w:rsidRDefault="0050291C" w:rsidP="0071681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589.656,45</w:t>
            </w:r>
          </w:p>
        </w:tc>
        <w:tc>
          <w:tcPr>
            <w:tcW w:w="1525" w:type="dxa"/>
          </w:tcPr>
          <w:p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968FD" w:rsidRPr="0064197B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F4F92" w:rsidRPr="00143C34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b/>
          <w:bCs/>
          <w:color w:val="auto"/>
          <w:sz w:val="22"/>
          <w:szCs w:val="22"/>
        </w:rPr>
        <w:t>3</w:t>
      </w:r>
      <w:r w:rsidR="003F4F92" w:rsidRPr="00143C34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</w:t>
      </w:r>
      <w:r w:rsidR="00C007EB" w:rsidRPr="00143C34">
        <w:rPr>
          <w:color w:val="auto"/>
          <w:sz w:val="22"/>
          <w:szCs w:val="22"/>
        </w:rPr>
        <w:t xml:space="preserve">   U Proračunu Općine Tovarnik</w:t>
      </w:r>
      <w:r w:rsidR="00907BDF" w:rsidRPr="00143C34">
        <w:rPr>
          <w:color w:val="auto"/>
          <w:sz w:val="22"/>
          <w:szCs w:val="22"/>
        </w:rPr>
        <w:t xml:space="preserve"> za 2019</w:t>
      </w:r>
      <w:r w:rsidRPr="00143C34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143C34">
        <w:rPr>
          <w:color w:val="auto"/>
          <w:sz w:val="22"/>
          <w:szCs w:val="22"/>
        </w:rPr>
        <w:t xml:space="preserve">   </w:t>
      </w:r>
      <w:r w:rsidR="008A6C0C" w:rsidRPr="00143C34">
        <w:rPr>
          <w:color w:val="auto"/>
          <w:sz w:val="22"/>
          <w:szCs w:val="22"/>
        </w:rPr>
        <w:t xml:space="preserve">  </w:t>
      </w:r>
      <w:r w:rsidRPr="00143C34">
        <w:rPr>
          <w:color w:val="auto"/>
          <w:sz w:val="22"/>
          <w:szCs w:val="22"/>
        </w:rPr>
        <w:t xml:space="preserve">niti korištenja iste. </w:t>
      </w:r>
    </w:p>
    <w:p w:rsidR="003F4F92" w:rsidRPr="00143C34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43C34">
        <w:rPr>
          <w:b/>
          <w:bCs/>
          <w:color w:val="auto"/>
          <w:sz w:val="22"/>
          <w:szCs w:val="22"/>
        </w:rPr>
        <w:t>4</w:t>
      </w:r>
      <w:r w:rsidR="003F4F92" w:rsidRPr="00143C34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:rsidR="003F4F92" w:rsidRPr="00143C34" w:rsidRDefault="003F4F92" w:rsidP="003F4F92">
      <w:pPr>
        <w:pStyle w:val="Default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    U period</w:t>
      </w:r>
      <w:r w:rsidR="00CD72F4" w:rsidRPr="00143C34">
        <w:rPr>
          <w:color w:val="auto"/>
          <w:sz w:val="22"/>
          <w:szCs w:val="22"/>
        </w:rPr>
        <w:t>u</w:t>
      </w:r>
      <w:r w:rsidR="000E6F58" w:rsidRPr="00143C34">
        <w:rPr>
          <w:color w:val="auto"/>
          <w:sz w:val="22"/>
          <w:szCs w:val="22"/>
        </w:rPr>
        <w:t xml:space="preserve"> od 01. siječnja do 31. prosinca</w:t>
      </w:r>
      <w:r w:rsidR="007C2350" w:rsidRPr="00143C34">
        <w:rPr>
          <w:color w:val="auto"/>
          <w:sz w:val="22"/>
          <w:szCs w:val="22"/>
        </w:rPr>
        <w:t xml:space="preserve"> </w:t>
      </w:r>
      <w:r w:rsidRPr="00143C34">
        <w:rPr>
          <w:color w:val="auto"/>
          <w:sz w:val="22"/>
          <w:szCs w:val="22"/>
        </w:rPr>
        <w:t>201</w:t>
      </w:r>
      <w:r w:rsidR="00907BDF" w:rsidRPr="00143C34">
        <w:rPr>
          <w:color w:val="auto"/>
          <w:sz w:val="22"/>
          <w:szCs w:val="22"/>
        </w:rPr>
        <w:t>9</w:t>
      </w:r>
      <w:r w:rsidR="00C007EB" w:rsidRPr="00143C34">
        <w:rPr>
          <w:color w:val="auto"/>
          <w:sz w:val="22"/>
          <w:szCs w:val="22"/>
        </w:rPr>
        <w:t>. g. Općina Tovarnik</w:t>
      </w:r>
      <w:r w:rsidRPr="00143C34">
        <w:rPr>
          <w:color w:val="auto"/>
          <w:sz w:val="22"/>
          <w:szCs w:val="22"/>
        </w:rPr>
        <w:t xml:space="preserve"> se nije zaduživala. </w:t>
      </w: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836B7B" w:rsidRPr="00143C34" w:rsidRDefault="003F4F92" w:rsidP="00396F65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 </w:t>
      </w:r>
      <w:r w:rsidR="00836B7B" w:rsidRPr="00143C34">
        <w:rPr>
          <w:color w:val="auto"/>
          <w:sz w:val="22"/>
          <w:szCs w:val="22"/>
        </w:rPr>
        <w:t xml:space="preserve">  Općin</w:t>
      </w:r>
      <w:r w:rsidR="00705282" w:rsidRPr="00143C34">
        <w:rPr>
          <w:color w:val="auto"/>
          <w:sz w:val="22"/>
          <w:szCs w:val="22"/>
        </w:rPr>
        <w:t>a Tovarnik</w:t>
      </w:r>
      <w:r w:rsidR="00836B7B" w:rsidRPr="00143C34">
        <w:rPr>
          <w:color w:val="auto"/>
          <w:sz w:val="22"/>
          <w:szCs w:val="22"/>
        </w:rPr>
        <w:t xml:space="preserve">  ima izdane </w:t>
      </w:r>
      <w:r w:rsidR="00705282" w:rsidRPr="00143C34">
        <w:rPr>
          <w:color w:val="auto"/>
          <w:sz w:val="22"/>
          <w:szCs w:val="22"/>
        </w:rPr>
        <w:t>bjanko zadužnice u iznosu od 200</w:t>
      </w:r>
      <w:r w:rsidR="00836B7B" w:rsidRPr="00143C34">
        <w:rPr>
          <w:color w:val="auto"/>
          <w:sz w:val="22"/>
          <w:szCs w:val="22"/>
        </w:rPr>
        <w:t xml:space="preserve">.000,00 kn </w:t>
      </w:r>
      <w:r w:rsidRPr="00143C34">
        <w:rPr>
          <w:color w:val="auto"/>
          <w:sz w:val="22"/>
          <w:szCs w:val="22"/>
        </w:rPr>
        <w:t xml:space="preserve"> </w:t>
      </w:r>
    </w:p>
    <w:p w:rsidR="00396F65" w:rsidRPr="00143C34" w:rsidRDefault="00396F65" w:rsidP="00396F65">
      <w:pPr>
        <w:pStyle w:val="Default"/>
        <w:jc w:val="both"/>
        <w:rPr>
          <w:color w:val="auto"/>
          <w:sz w:val="22"/>
          <w:szCs w:val="22"/>
        </w:rPr>
      </w:pPr>
    </w:p>
    <w:p w:rsidR="00143C34" w:rsidRDefault="00143C34" w:rsidP="00396F65">
      <w:pPr>
        <w:pStyle w:val="Default"/>
        <w:jc w:val="both"/>
        <w:rPr>
          <w:color w:val="auto"/>
          <w:sz w:val="22"/>
          <w:szCs w:val="22"/>
        </w:rPr>
      </w:pPr>
    </w:p>
    <w:p w:rsidR="00143C34" w:rsidRDefault="00143C34" w:rsidP="00396F65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396F65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396F65">
      <w:pPr>
        <w:pStyle w:val="Default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143C34" w:rsidRPr="00143C34" w:rsidRDefault="00143C34" w:rsidP="00CD72F4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CD72F4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CD72F4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CD72F4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CD72F4">
      <w:pPr>
        <w:pStyle w:val="Default"/>
        <w:jc w:val="both"/>
        <w:rPr>
          <w:color w:val="auto"/>
          <w:sz w:val="22"/>
          <w:szCs w:val="22"/>
        </w:rPr>
      </w:pPr>
    </w:p>
    <w:p w:rsidR="00143C34" w:rsidRPr="00143C34" w:rsidRDefault="00143C34" w:rsidP="00CD72F4">
      <w:pPr>
        <w:pStyle w:val="Default"/>
        <w:jc w:val="both"/>
        <w:rPr>
          <w:color w:val="auto"/>
          <w:sz w:val="22"/>
          <w:szCs w:val="22"/>
        </w:rPr>
      </w:pPr>
    </w:p>
    <w:p w:rsidR="003F4F92" w:rsidRPr="00143C34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U </w:t>
      </w:r>
      <w:r w:rsidR="00CD72F4" w:rsidRPr="00143C34">
        <w:rPr>
          <w:color w:val="auto"/>
          <w:sz w:val="22"/>
          <w:szCs w:val="22"/>
        </w:rPr>
        <w:t xml:space="preserve"> </w:t>
      </w:r>
      <w:r w:rsidR="006709C7" w:rsidRPr="00143C34">
        <w:rPr>
          <w:color w:val="auto"/>
          <w:sz w:val="22"/>
          <w:szCs w:val="22"/>
        </w:rPr>
        <w:t>2019</w:t>
      </w:r>
      <w:r w:rsidR="003F4F92" w:rsidRPr="00143C34">
        <w:rPr>
          <w:color w:val="auto"/>
          <w:sz w:val="22"/>
          <w:szCs w:val="22"/>
        </w:rPr>
        <w:t xml:space="preserve"> godin</w:t>
      </w:r>
      <w:r w:rsidR="006709C7" w:rsidRPr="00143C34">
        <w:rPr>
          <w:color w:val="auto"/>
          <w:sz w:val="22"/>
          <w:szCs w:val="22"/>
        </w:rPr>
        <w:t>e</w:t>
      </w:r>
      <w:r w:rsidR="003F4F92" w:rsidRPr="00143C34">
        <w:rPr>
          <w:color w:val="auto"/>
          <w:sz w:val="22"/>
          <w:szCs w:val="22"/>
        </w:rPr>
        <w:t xml:space="preserve"> ukupni prihodi/primici ostvar</w:t>
      </w:r>
      <w:r w:rsidRPr="00143C34">
        <w:rPr>
          <w:color w:val="auto"/>
          <w:sz w:val="22"/>
          <w:szCs w:val="22"/>
        </w:rPr>
        <w:t xml:space="preserve">eni su u </w:t>
      </w:r>
      <w:r w:rsidR="00705282" w:rsidRPr="00143C34">
        <w:rPr>
          <w:color w:val="auto"/>
          <w:sz w:val="22"/>
          <w:szCs w:val="22"/>
        </w:rPr>
        <w:t xml:space="preserve">iznosu od </w:t>
      </w:r>
      <w:r w:rsidR="006626F9" w:rsidRPr="00143C34">
        <w:rPr>
          <w:color w:val="auto"/>
          <w:sz w:val="22"/>
          <w:szCs w:val="22"/>
        </w:rPr>
        <w:t>12.432.823,00</w:t>
      </w:r>
      <w:r w:rsidR="004354BA" w:rsidRPr="00143C34">
        <w:rPr>
          <w:color w:val="auto"/>
          <w:sz w:val="22"/>
          <w:szCs w:val="22"/>
        </w:rPr>
        <w:t xml:space="preserve"> kn, odnosno </w:t>
      </w:r>
      <w:r w:rsidR="006626F9" w:rsidRPr="00143C34">
        <w:rPr>
          <w:color w:val="auto"/>
          <w:sz w:val="22"/>
          <w:szCs w:val="22"/>
        </w:rPr>
        <w:t>97,9</w:t>
      </w:r>
      <w:r w:rsidR="003F4F92" w:rsidRPr="00143C34">
        <w:rPr>
          <w:color w:val="auto"/>
          <w:sz w:val="22"/>
          <w:szCs w:val="22"/>
        </w:rPr>
        <w:t xml:space="preserve"> % </w:t>
      </w:r>
      <w:r w:rsidR="004354BA" w:rsidRPr="00143C34">
        <w:rPr>
          <w:color w:val="auto"/>
          <w:sz w:val="22"/>
          <w:szCs w:val="22"/>
        </w:rPr>
        <w:t xml:space="preserve"> </w:t>
      </w:r>
      <w:r w:rsidR="003F4F92" w:rsidRPr="00143C34">
        <w:rPr>
          <w:color w:val="auto"/>
          <w:sz w:val="22"/>
          <w:szCs w:val="22"/>
        </w:rPr>
        <w:t xml:space="preserve">od plana. </w:t>
      </w:r>
    </w:p>
    <w:p w:rsidR="003F4F92" w:rsidRPr="00143C34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Ukupni rashodi/izdaci u </w:t>
      </w:r>
      <w:r w:rsidR="006626F9" w:rsidRPr="00143C34">
        <w:rPr>
          <w:color w:val="auto"/>
          <w:sz w:val="22"/>
          <w:szCs w:val="22"/>
        </w:rPr>
        <w:t>2019. godini iznose 13.368.229,00</w:t>
      </w:r>
      <w:r w:rsidR="006709C7" w:rsidRPr="00143C34">
        <w:rPr>
          <w:color w:val="auto"/>
          <w:sz w:val="22"/>
          <w:szCs w:val="22"/>
        </w:rPr>
        <w:t xml:space="preserve"> k</w:t>
      </w:r>
      <w:r w:rsidR="006626F9" w:rsidRPr="00143C34">
        <w:rPr>
          <w:color w:val="auto"/>
          <w:sz w:val="22"/>
          <w:szCs w:val="22"/>
        </w:rPr>
        <w:t>n, odnosno 96,6</w:t>
      </w:r>
      <w:r w:rsidRPr="00143C34">
        <w:rPr>
          <w:color w:val="auto"/>
          <w:sz w:val="22"/>
          <w:szCs w:val="22"/>
        </w:rPr>
        <w:t xml:space="preserve"> % od plana. </w:t>
      </w:r>
    </w:p>
    <w:p w:rsidR="003F4F92" w:rsidRPr="00143C34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43C34">
        <w:rPr>
          <w:rFonts w:ascii="Times New Roman" w:hAnsi="Times New Roman"/>
        </w:rPr>
        <w:t>Razlika između ostvarenih prihoda/pri</w:t>
      </w:r>
      <w:r w:rsidR="00E23CB1" w:rsidRPr="00143C34">
        <w:rPr>
          <w:rFonts w:ascii="Times New Roman" w:hAnsi="Times New Roman"/>
        </w:rPr>
        <w:t>mitaka i rashoda/izdataka</w:t>
      </w:r>
      <w:r w:rsidR="00E319C4" w:rsidRPr="00143C34">
        <w:rPr>
          <w:rFonts w:ascii="Times New Roman" w:hAnsi="Times New Roman"/>
        </w:rPr>
        <w:t xml:space="preserve"> daje manjak</w:t>
      </w:r>
      <w:r w:rsidRPr="00143C34">
        <w:rPr>
          <w:rFonts w:ascii="Times New Roman" w:hAnsi="Times New Roman"/>
        </w:rPr>
        <w:t xml:space="preserve"> prihoda/primitaka u izn</w:t>
      </w:r>
      <w:r w:rsidR="006626F9" w:rsidRPr="00143C34">
        <w:rPr>
          <w:rFonts w:ascii="Times New Roman" w:hAnsi="Times New Roman"/>
        </w:rPr>
        <w:t>osu 935.406,00</w:t>
      </w:r>
      <w:r w:rsidRPr="00143C34">
        <w:rPr>
          <w:rFonts w:ascii="Times New Roman" w:hAnsi="Times New Roman"/>
        </w:rPr>
        <w:t xml:space="preserve"> kn</w:t>
      </w:r>
    </w:p>
    <w:p w:rsidR="00335949" w:rsidRPr="00143C34" w:rsidRDefault="00335949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43C34">
        <w:rPr>
          <w:rFonts w:ascii="Times New Roman" w:hAnsi="Times New Roman"/>
        </w:rPr>
        <w:t>Izdaci za udjele u osnivanje društva 10.000,00 kn</w:t>
      </w:r>
    </w:p>
    <w:p w:rsidR="003F4F92" w:rsidRPr="00143C34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>Uključujući preneseni višak prihoda/primitaka iz prethodni</w:t>
      </w:r>
      <w:r w:rsidR="006626F9" w:rsidRPr="00143C34">
        <w:rPr>
          <w:color w:val="auto"/>
          <w:sz w:val="22"/>
          <w:szCs w:val="22"/>
        </w:rPr>
        <w:t>h godina  u iznosu 1.535.062,00</w:t>
      </w:r>
      <w:r w:rsidR="00E319C4" w:rsidRPr="00143C34">
        <w:rPr>
          <w:color w:val="auto"/>
          <w:sz w:val="22"/>
          <w:szCs w:val="22"/>
        </w:rPr>
        <w:t>kn i manjak</w:t>
      </w:r>
      <w:r w:rsidRPr="00143C34">
        <w:rPr>
          <w:color w:val="auto"/>
          <w:sz w:val="22"/>
          <w:szCs w:val="22"/>
        </w:rPr>
        <w:t xml:space="preserve"> prihoda/primitaka u iznosu </w:t>
      </w:r>
      <w:r w:rsidR="00335949" w:rsidRPr="00143C34">
        <w:rPr>
          <w:color w:val="auto"/>
        </w:rPr>
        <w:t>945</w:t>
      </w:r>
      <w:r w:rsidR="006626F9" w:rsidRPr="00143C34">
        <w:rPr>
          <w:color w:val="auto"/>
        </w:rPr>
        <w:t>.406,00</w:t>
      </w:r>
      <w:r w:rsidR="00E319C4" w:rsidRPr="00143C34">
        <w:rPr>
          <w:color w:val="auto"/>
          <w:sz w:val="22"/>
          <w:szCs w:val="22"/>
        </w:rPr>
        <w:t xml:space="preserve">kn </w:t>
      </w:r>
      <w:r w:rsidR="00DE1A43" w:rsidRPr="00143C34">
        <w:rPr>
          <w:color w:val="auto"/>
          <w:sz w:val="22"/>
          <w:szCs w:val="22"/>
        </w:rPr>
        <w:t xml:space="preserve">u </w:t>
      </w:r>
      <w:r w:rsidR="006709C7" w:rsidRPr="00143C34">
        <w:rPr>
          <w:color w:val="auto"/>
          <w:sz w:val="22"/>
          <w:szCs w:val="22"/>
        </w:rPr>
        <w:t>2019</w:t>
      </w:r>
      <w:r w:rsidRPr="00143C34">
        <w:rPr>
          <w:color w:val="auto"/>
          <w:sz w:val="22"/>
          <w:szCs w:val="22"/>
        </w:rPr>
        <w:t xml:space="preserve">. g., </w:t>
      </w:r>
      <w:r w:rsidR="005C4F42" w:rsidRPr="00143C34">
        <w:rPr>
          <w:color w:val="auto"/>
          <w:sz w:val="22"/>
          <w:szCs w:val="22"/>
        </w:rPr>
        <w:t>čini</w:t>
      </w:r>
      <w:r w:rsidRPr="00143C34">
        <w:rPr>
          <w:color w:val="auto"/>
          <w:sz w:val="22"/>
          <w:szCs w:val="22"/>
        </w:rPr>
        <w:t xml:space="preserve">  raspoloživ višak prihoda u sljedeć</w:t>
      </w:r>
      <w:r w:rsidR="00E319C4" w:rsidRPr="00143C34">
        <w:rPr>
          <w:color w:val="auto"/>
          <w:sz w:val="22"/>
          <w:szCs w:val="22"/>
        </w:rPr>
        <w:t>em razdoblju</w:t>
      </w:r>
      <w:r w:rsidR="006626F9" w:rsidRPr="00143C34">
        <w:rPr>
          <w:color w:val="auto"/>
          <w:sz w:val="22"/>
          <w:szCs w:val="22"/>
        </w:rPr>
        <w:t xml:space="preserve"> koji  iznosi 589.656,00</w:t>
      </w:r>
      <w:r w:rsidRPr="00143C34">
        <w:rPr>
          <w:color w:val="auto"/>
          <w:sz w:val="22"/>
          <w:szCs w:val="22"/>
        </w:rPr>
        <w:t xml:space="preserve"> kn. </w:t>
      </w:r>
    </w:p>
    <w:p w:rsidR="003F4F92" w:rsidRPr="00143C34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P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P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P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143C34" w:rsidRPr="00143C34" w:rsidRDefault="00143C34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Prihodi/primici </w:t>
      </w:r>
      <w:r w:rsidR="00181253" w:rsidRPr="00143C34">
        <w:rPr>
          <w:color w:val="auto"/>
          <w:sz w:val="22"/>
          <w:szCs w:val="22"/>
        </w:rPr>
        <w:t>u</w:t>
      </w:r>
      <w:r w:rsidR="006709C7" w:rsidRPr="00143C34">
        <w:rPr>
          <w:color w:val="auto"/>
          <w:sz w:val="22"/>
          <w:szCs w:val="22"/>
        </w:rPr>
        <w:t xml:space="preserve"> 2019</w:t>
      </w:r>
      <w:r w:rsidRPr="00143C34">
        <w:rPr>
          <w:color w:val="auto"/>
          <w:sz w:val="22"/>
          <w:szCs w:val="22"/>
        </w:rPr>
        <w:t xml:space="preserve">. g. realizirani su u iznosu </w:t>
      </w:r>
      <w:r w:rsidR="00335949" w:rsidRPr="00143C34">
        <w:rPr>
          <w:color w:val="auto"/>
          <w:sz w:val="22"/>
          <w:szCs w:val="22"/>
        </w:rPr>
        <w:t>12.432.823,00</w:t>
      </w:r>
      <w:r w:rsidR="00181253" w:rsidRPr="00143C34">
        <w:rPr>
          <w:color w:val="auto"/>
          <w:sz w:val="22"/>
          <w:szCs w:val="22"/>
        </w:rPr>
        <w:t xml:space="preserve"> kn ili  </w:t>
      </w:r>
      <w:r w:rsidR="00335949" w:rsidRPr="00143C34">
        <w:rPr>
          <w:color w:val="auto"/>
          <w:sz w:val="22"/>
          <w:szCs w:val="22"/>
        </w:rPr>
        <w:t>97,9</w:t>
      </w:r>
      <w:r w:rsidRPr="00143C34">
        <w:rPr>
          <w:color w:val="auto"/>
          <w:sz w:val="22"/>
          <w:szCs w:val="22"/>
        </w:rPr>
        <w:t xml:space="preserve">% </w:t>
      </w:r>
      <w:r w:rsidR="008A6C0C" w:rsidRPr="00143C34">
        <w:rPr>
          <w:color w:val="auto"/>
          <w:sz w:val="22"/>
          <w:szCs w:val="22"/>
        </w:rPr>
        <w:t xml:space="preserve">od </w:t>
      </w:r>
      <w:r w:rsidRPr="00143C34">
        <w:rPr>
          <w:color w:val="auto"/>
          <w:sz w:val="22"/>
          <w:szCs w:val="22"/>
        </w:rPr>
        <w:t xml:space="preserve">godišnjeg plana. </w:t>
      </w:r>
    </w:p>
    <w:p w:rsidR="00AD11BF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3F4F92" w:rsidRPr="00143C3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  <w:u w:val="single"/>
        </w:rPr>
      </w:pPr>
      <w:r w:rsidRPr="00143C34">
        <w:rPr>
          <w:i/>
          <w:iCs/>
          <w:color w:val="auto"/>
          <w:sz w:val="22"/>
          <w:szCs w:val="22"/>
          <w:u w:val="single"/>
        </w:rPr>
        <w:t xml:space="preserve"> PRIHODI POSLOVANJA </w:t>
      </w:r>
    </w:p>
    <w:p w:rsidR="003F4F92" w:rsidRPr="00143C3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143C34" w:rsidTr="003C1AEC">
        <w:trPr>
          <w:trHeight w:val="9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Plan</w:t>
            </w:r>
          </w:p>
          <w:p w:rsidR="007B17C5" w:rsidRPr="00143C34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2019</w:t>
            </w:r>
            <w:r w:rsidR="007B17C5" w:rsidRPr="00143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143C34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Izvršenje</w:t>
            </w:r>
          </w:p>
          <w:p w:rsidR="007B17C5" w:rsidRPr="00143C34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01.01 – 31.12</w:t>
            </w:r>
            <w:r w:rsidR="00AD11BF" w:rsidRPr="00143C34">
              <w:rPr>
                <w:rFonts w:ascii="Times New Roman" w:hAnsi="Times New Roman" w:cs="Times New Roman"/>
              </w:rPr>
              <w:t>. 2019</w:t>
            </w:r>
            <w:r w:rsidR="007B17C5" w:rsidRPr="00143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Indeks</w:t>
            </w:r>
          </w:p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143C34" w:rsidTr="00396F65">
        <w:trPr>
          <w:trHeight w:val="2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5.573.360,00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5.657.870,00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2D153F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101,5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  <w:r w:rsidR="00181253" w:rsidRPr="00143C34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2.485.813,00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2.095.563,00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2D153F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84,3%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3F3" w:rsidRPr="00143C34" w:rsidTr="00143C34">
        <w:trPr>
          <w:trHeight w:val="8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7D0" w:rsidRPr="00143C34" w:rsidRDefault="00DB37D0" w:rsidP="00DB37D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3.979.100</w:t>
            </w:r>
            <w:r w:rsidR="000A6CAA" w:rsidRPr="00143C34">
              <w:rPr>
                <w:rFonts w:ascii="Times New Roman" w:hAnsi="Times New Roman" w:cs="Times New Roman"/>
              </w:rPr>
              <w:t>.</w:t>
            </w:r>
            <w:r w:rsidRPr="00143C34">
              <w:rPr>
                <w:rFonts w:ascii="Times New Roman" w:hAnsi="Times New Roman" w:cs="Times New Roman"/>
              </w:rPr>
              <w:t>00</w:t>
            </w:r>
          </w:p>
          <w:p w:rsidR="003F4F92" w:rsidRPr="00143C34" w:rsidRDefault="00810868" w:rsidP="00DB37D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C4" w:rsidRPr="00143C34" w:rsidRDefault="00DB37D0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4.011.997,00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2D153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100,8%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3F3" w:rsidRPr="00143C34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631.504,00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637.543,00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81086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 </w:t>
            </w:r>
            <w:r w:rsidR="002D153F" w:rsidRPr="00143C34">
              <w:rPr>
                <w:rFonts w:ascii="Times New Roman" w:hAnsi="Times New Roman" w:cs="Times New Roman"/>
              </w:rPr>
              <w:t>101,00</w:t>
            </w:r>
            <w:r w:rsidR="003F4F92" w:rsidRPr="00143C34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143C34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Prihodi od prodaje roba i usluga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81086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DB37D0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29.850,00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143C34" w:rsidRDefault="00810868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 </w:t>
            </w:r>
            <w:r w:rsidR="003F4F92" w:rsidRPr="00143C34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143C34" w:rsidRDefault="00810868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 xml:space="preserve"> </w:t>
            </w:r>
            <w:r w:rsidR="000A6CAA" w:rsidRPr="00143C34">
              <w:rPr>
                <w:rFonts w:ascii="Times New Roman" w:hAnsi="Times New Roman" w:cs="Times New Roman"/>
                <w:b/>
              </w:rPr>
              <w:t>12.699.777,00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143C34" w:rsidRDefault="00DB37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12.432.823,00</w:t>
            </w:r>
            <w:r w:rsidR="00810868" w:rsidRPr="00143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143C34" w:rsidRDefault="002D153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97,9%</w:t>
            </w:r>
            <w:r w:rsidR="00810868" w:rsidRPr="00143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F4F92" w:rsidRPr="00ED040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ED040D" w:rsidSect="001253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143C34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143C34">
        <w:rPr>
          <w:color w:val="auto"/>
          <w:sz w:val="22"/>
          <w:szCs w:val="22"/>
        </w:rPr>
        <w:t xml:space="preserve">ostvareni su u iznosu </w:t>
      </w:r>
      <w:r w:rsidR="00551813" w:rsidRPr="00143C34">
        <w:rPr>
          <w:color w:val="auto"/>
          <w:sz w:val="22"/>
          <w:szCs w:val="22"/>
        </w:rPr>
        <w:t>5.657.870,00</w:t>
      </w:r>
      <w:r w:rsidR="00A47BD6" w:rsidRPr="00143C34">
        <w:rPr>
          <w:color w:val="auto"/>
          <w:sz w:val="22"/>
          <w:szCs w:val="22"/>
        </w:rPr>
        <w:t xml:space="preserve"> </w:t>
      </w:r>
      <w:r w:rsidR="00551813" w:rsidRPr="00143C34">
        <w:rPr>
          <w:color w:val="auto"/>
          <w:sz w:val="22"/>
          <w:szCs w:val="22"/>
        </w:rPr>
        <w:t xml:space="preserve">kn ili </w:t>
      </w:r>
      <w:r w:rsidR="00376C1D" w:rsidRPr="00143C34">
        <w:rPr>
          <w:color w:val="auto"/>
          <w:sz w:val="22"/>
          <w:szCs w:val="22"/>
        </w:rPr>
        <w:t>1,1</w:t>
      </w:r>
      <w:r w:rsidRPr="00143C34">
        <w:rPr>
          <w:color w:val="auto"/>
          <w:sz w:val="22"/>
          <w:szCs w:val="22"/>
        </w:rPr>
        <w:t>%</w:t>
      </w:r>
      <w:r w:rsidR="00ED040D" w:rsidRPr="00143C34">
        <w:rPr>
          <w:color w:val="auto"/>
          <w:sz w:val="22"/>
          <w:szCs w:val="22"/>
        </w:rPr>
        <w:t xml:space="preserve"> više od </w:t>
      </w:r>
      <w:r w:rsidRPr="00143C34">
        <w:rPr>
          <w:color w:val="auto"/>
          <w:sz w:val="22"/>
          <w:szCs w:val="22"/>
        </w:rPr>
        <w:t xml:space="preserve"> ukupno pla</w:t>
      </w:r>
      <w:r w:rsidR="006658B3" w:rsidRPr="00143C34">
        <w:rPr>
          <w:color w:val="auto"/>
          <w:sz w:val="22"/>
          <w:szCs w:val="22"/>
        </w:rPr>
        <w:t>niranih prihoda od poreza u 2019</w:t>
      </w:r>
      <w:r w:rsidRPr="00143C34">
        <w:rPr>
          <w:color w:val="auto"/>
          <w:sz w:val="22"/>
          <w:szCs w:val="22"/>
        </w:rPr>
        <w:t xml:space="preserve">. g.  </w:t>
      </w:r>
    </w:p>
    <w:p w:rsidR="003F4F92" w:rsidRPr="00143C3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>Prihodi od pomoći iz inozemstva i od subjekata unutar opće države ost</w:t>
      </w:r>
      <w:r w:rsidR="009F73B3" w:rsidRPr="00143C34">
        <w:rPr>
          <w:color w:val="auto"/>
          <w:sz w:val="22"/>
          <w:szCs w:val="22"/>
        </w:rPr>
        <w:t xml:space="preserve">vareni su u iznos od </w:t>
      </w:r>
      <w:r w:rsidR="00376C1D" w:rsidRPr="00143C34">
        <w:rPr>
          <w:color w:val="auto"/>
          <w:sz w:val="22"/>
          <w:szCs w:val="22"/>
        </w:rPr>
        <w:t>2.095.563,00</w:t>
      </w:r>
      <w:r w:rsidR="00A47BD6" w:rsidRPr="00143C34">
        <w:rPr>
          <w:color w:val="auto"/>
          <w:sz w:val="22"/>
          <w:szCs w:val="22"/>
        </w:rPr>
        <w:t xml:space="preserve"> </w:t>
      </w:r>
      <w:r w:rsidR="00376C1D" w:rsidRPr="00143C34">
        <w:rPr>
          <w:color w:val="auto"/>
          <w:sz w:val="22"/>
          <w:szCs w:val="22"/>
        </w:rPr>
        <w:t>kn, ili 15,7 manje od</w:t>
      </w:r>
      <w:r w:rsidR="006658B3" w:rsidRPr="00143C34">
        <w:rPr>
          <w:color w:val="auto"/>
          <w:sz w:val="22"/>
          <w:szCs w:val="22"/>
        </w:rPr>
        <w:t>planiranih prihoda u 2019</w:t>
      </w:r>
      <w:r w:rsidRPr="00143C34">
        <w:rPr>
          <w:color w:val="auto"/>
          <w:sz w:val="22"/>
          <w:szCs w:val="22"/>
        </w:rPr>
        <w:t>.g. ( odnose se na tekuće</w:t>
      </w:r>
      <w:r w:rsidR="004E7A56" w:rsidRPr="00143C34">
        <w:rPr>
          <w:color w:val="auto"/>
          <w:sz w:val="22"/>
          <w:szCs w:val="22"/>
        </w:rPr>
        <w:t xml:space="preserve"> pomoći iz državnog </w:t>
      </w:r>
      <w:r w:rsidR="006658B3" w:rsidRPr="00143C34">
        <w:rPr>
          <w:color w:val="auto"/>
          <w:sz w:val="22"/>
          <w:szCs w:val="22"/>
        </w:rPr>
        <w:t>i županijskog</w:t>
      </w:r>
      <w:r w:rsidR="004E7A56" w:rsidRPr="00143C34">
        <w:rPr>
          <w:color w:val="auto"/>
          <w:sz w:val="22"/>
          <w:szCs w:val="22"/>
        </w:rPr>
        <w:t xml:space="preserve">  proračun</w:t>
      </w:r>
      <w:r w:rsidR="00A47BD6" w:rsidRPr="00143C34">
        <w:rPr>
          <w:color w:val="auto"/>
          <w:sz w:val="22"/>
          <w:szCs w:val="22"/>
        </w:rPr>
        <w:t>a</w:t>
      </w:r>
      <w:r w:rsidRPr="00143C34">
        <w:rPr>
          <w:color w:val="auto"/>
          <w:sz w:val="22"/>
          <w:szCs w:val="22"/>
        </w:rPr>
        <w:t xml:space="preserve">, </w:t>
      </w:r>
      <w:r w:rsidR="00376C1D" w:rsidRPr="00143C34">
        <w:rPr>
          <w:color w:val="auto"/>
          <w:sz w:val="22"/>
          <w:szCs w:val="22"/>
        </w:rPr>
        <w:t xml:space="preserve">kapitalne pomoći MRR, </w:t>
      </w:r>
      <w:r w:rsidR="00ED040D" w:rsidRPr="00143C34">
        <w:rPr>
          <w:color w:val="auto"/>
          <w:sz w:val="22"/>
          <w:szCs w:val="22"/>
        </w:rPr>
        <w:t xml:space="preserve"> Ministarsva branitelja,</w:t>
      </w:r>
      <w:r w:rsidR="006658B3" w:rsidRPr="00143C34">
        <w:rPr>
          <w:color w:val="auto"/>
          <w:sz w:val="22"/>
          <w:szCs w:val="22"/>
        </w:rPr>
        <w:t xml:space="preserve"> </w:t>
      </w:r>
      <w:r w:rsidR="00A47BD6" w:rsidRPr="00143C34">
        <w:rPr>
          <w:color w:val="auto"/>
          <w:sz w:val="22"/>
          <w:szCs w:val="22"/>
        </w:rPr>
        <w:t>tekuće pomoći HZ</w:t>
      </w:r>
      <w:r w:rsidRPr="00143C34">
        <w:rPr>
          <w:color w:val="auto"/>
          <w:sz w:val="22"/>
          <w:szCs w:val="22"/>
        </w:rPr>
        <w:t>Z-a</w:t>
      </w:r>
      <w:r w:rsidR="006658B3" w:rsidRPr="00143C34">
        <w:rPr>
          <w:color w:val="auto"/>
          <w:sz w:val="22"/>
          <w:szCs w:val="22"/>
        </w:rPr>
        <w:t xml:space="preserve"> i pomoći temeljem prijenosa EU.sredtava </w:t>
      </w:r>
    </w:p>
    <w:p w:rsidR="003F4F92" w:rsidRPr="00143C3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Prihodi od imovine  realizirani su u iznosu </w:t>
      </w:r>
      <w:r w:rsidR="00376C1D" w:rsidRPr="00143C34">
        <w:rPr>
          <w:color w:val="auto"/>
          <w:sz w:val="22"/>
          <w:szCs w:val="22"/>
        </w:rPr>
        <w:t>4.011.997,00 kn, ili 0,8</w:t>
      </w:r>
      <w:r w:rsidRPr="00143C34">
        <w:rPr>
          <w:color w:val="auto"/>
          <w:sz w:val="22"/>
          <w:szCs w:val="22"/>
        </w:rPr>
        <w:t xml:space="preserve">% </w:t>
      </w:r>
      <w:r w:rsidR="00ED040D" w:rsidRPr="00143C34">
        <w:rPr>
          <w:color w:val="auto"/>
          <w:sz w:val="22"/>
          <w:szCs w:val="22"/>
        </w:rPr>
        <w:t xml:space="preserve">više od </w:t>
      </w:r>
      <w:r w:rsidRPr="00143C34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143C34">
        <w:rPr>
          <w:color w:val="auto"/>
          <w:sz w:val="22"/>
          <w:szCs w:val="22"/>
        </w:rPr>
        <w:t>, pravo služnosti</w:t>
      </w:r>
      <w:r w:rsidRPr="00143C34">
        <w:rPr>
          <w:color w:val="auto"/>
          <w:sz w:val="22"/>
          <w:szCs w:val="22"/>
        </w:rPr>
        <w:t>,</w:t>
      </w:r>
      <w:r w:rsidR="000762CE" w:rsidRPr="00143C34">
        <w:rPr>
          <w:color w:val="auto"/>
          <w:sz w:val="22"/>
          <w:szCs w:val="22"/>
        </w:rPr>
        <w:t xml:space="preserve"> kamata</w:t>
      </w:r>
      <w:r w:rsidR="00376C1D" w:rsidRPr="00143C34">
        <w:rPr>
          <w:color w:val="auto"/>
          <w:sz w:val="22"/>
          <w:szCs w:val="22"/>
        </w:rPr>
        <w:t>, naknada za iskorištavanje rudne rente</w:t>
      </w:r>
      <w:r w:rsidRPr="00143C34">
        <w:rPr>
          <w:color w:val="auto"/>
          <w:sz w:val="22"/>
          <w:szCs w:val="22"/>
        </w:rPr>
        <w:t xml:space="preserve"> </w:t>
      </w:r>
    </w:p>
    <w:p w:rsidR="008A6C0C" w:rsidRPr="00143C34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376C1D" w:rsidRPr="00143C34">
        <w:rPr>
          <w:color w:val="auto"/>
          <w:sz w:val="22"/>
          <w:szCs w:val="22"/>
        </w:rPr>
        <w:t>637.543,00 kn, ili 1,00</w:t>
      </w:r>
      <w:r w:rsidR="000762CE" w:rsidRPr="00143C34">
        <w:rPr>
          <w:color w:val="auto"/>
          <w:sz w:val="22"/>
          <w:szCs w:val="22"/>
        </w:rPr>
        <w:t xml:space="preserve">%  </w:t>
      </w:r>
      <w:r w:rsidR="00376C1D" w:rsidRPr="00143C34">
        <w:rPr>
          <w:color w:val="auto"/>
          <w:sz w:val="22"/>
          <w:szCs w:val="22"/>
        </w:rPr>
        <w:t xml:space="preserve">više od </w:t>
      </w:r>
      <w:r w:rsidRPr="00143C34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143C34">
        <w:rPr>
          <w:color w:val="auto"/>
          <w:sz w:val="22"/>
          <w:szCs w:val="22"/>
        </w:rPr>
        <w:t xml:space="preserve"> šumskog doprinosa,</w:t>
      </w:r>
      <w:r w:rsidRPr="00143C34">
        <w:rPr>
          <w:color w:val="auto"/>
          <w:sz w:val="22"/>
          <w:szCs w:val="22"/>
        </w:rPr>
        <w:t xml:space="preserve"> grobne naknade,  komunalnog doprinosa</w:t>
      </w:r>
      <w:r w:rsidR="00ED040D" w:rsidRPr="00143C34">
        <w:rPr>
          <w:color w:val="auto"/>
          <w:sz w:val="22"/>
          <w:szCs w:val="22"/>
        </w:rPr>
        <w:t xml:space="preserve"> i</w:t>
      </w:r>
      <w:r w:rsidRPr="00143C34">
        <w:rPr>
          <w:color w:val="auto"/>
          <w:sz w:val="22"/>
          <w:szCs w:val="22"/>
        </w:rPr>
        <w:t xml:space="preserve">  vodnog </w:t>
      </w:r>
      <w:r w:rsidR="00ED040D" w:rsidRPr="00143C34">
        <w:rPr>
          <w:color w:val="auto"/>
          <w:sz w:val="22"/>
          <w:szCs w:val="22"/>
        </w:rPr>
        <w:t>doprinosa.</w:t>
      </w:r>
    </w:p>
    <w:p w:rsidR="003F4F92" w:rsidRPr="00143C34" w:rsidRDefault="00376C1D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Ostali prihodi iznose 29.850,00 kn </w:t>
      </w:r>
      <w:r w:rsidR="006658B3" w:rsidRPr="00143C34">
        <w:rPr>
          <w:color w:val="auto"/>
          <w:sz w:val="22"/>
          <w:szCs w:val="22"/>
        </w:rPr>
        <w:t>,</w:t>
      </w:r>
      <w:r w:rsidRPr="00143C34">
        <w:rPr>
          <w:color w:val="auto"/>
          <w:sz w:val="22"/>
          <w:szCs w:val="22"/>
        </w:rPr>
        <w:t xml:space="preserve"> a odnose se na povrat neiskorištenih potpora</w:t>
      </w:r>
      <w:r w:rsidR="00E91CC4" w:rsidRPr="00143C34">
        <w:rPr>
          <w:color w:val="auto"/>
          <w:sz w:val="22"/>
          <w:szCs w:val="22"/>
        </w:rPr>
        <w:t>.</w:t>
      </w:r>
    </w:p>
    <w:p w:rsidR="003F4F92" w:rsidRPr="00143C34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43C34" w:rsidRDefault="00C007EB" w:rsidP="00E91CC4">
      <w:pPr>
        <w:pStyle w:val="Default"/>
        <w:ind w:left="644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</w:t>
      </w:r>
    </w:p>
    <w:p w:rsidR="003F4F92" w:rsidRPr="00143C34" w:rsidRDefault="003F4F92" w:rsidP="003F4F92">
      <w:pPr>
        <w:pStyle w:val="Default"/>
        <w:ind w:left="720"/>
        <w:jc w:val="both"/>
        <w:rPr>
          <w:color w:val="auto"/>
        </w:rPr>
      </w:pPr>
    </w:p>
    <w:p w:rsidR="003F4F92" w:rsidRPr="00143C34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143C34">
        <w:rPr>
          <w:b/>
          <w:color w:val="auto"/>
          <w:sz w:val="22"/>
          <w:szCs w:val="22"/>
        </w:rPr>
        <w:t>6.2.</w:t>
      </w:r>
      <w:r w:rsidRPr="00143C34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:rsidR="003F4F92" w:rsidRPr="00143C34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43C34">
        <w:rPr>
          <w:bCs/>
          <w:color w:val="auto"/>
          <w:sz w:val="22"/>
          <w:szCs w:val="22"/>
        </w:rPr>
        <w:t xml:space="preserve">Ukupni proračunski rashodi i izdaci </w:t>
      </w:r>
      <w:r w:rsidR="00BE0308" w:rsidRPr="00143C34">
        <w:rPr>
          <w:color w:val="auto"/>
          <w:sz w:val="22"/>
          <w:szCs w:val="22"/>
        </w:rPr>
        <w:t xml:space="preserve">u </w:t>
      </w:r>
      <w:r w:rsidR="002F62F1" w:rsidRPr="00143C34">
        <w:rPr>
          <w:color w:val="auto"/>
          <w:sz w:val="22"/>
          <w:szCs w:val="22"/>
        </w:rPr>
        <w:t xml:space="preserve"> 2019. g </w:t>
      </w:r>
      <w:r w:rsidR="00580597" w:rsidRPr="00143C34">
        <w:rPr>
          <w:bCs/>
          <w:color w:val="auto"/>
          <w:sz w:val="22"/>
          <w:szCs w:val="22"/>
        </w:rPr>
        <w:t xml:space="preserve"> </w:t>
      </w:r>
      <w:r w:rsidRPr="00143C34">
        <w:rPr>
          <w:bCs/>
          <w:color w:val="auto"/>
          <w:sz w:val="22"/>
          <w:szCs w:val="22"/>
        </w:rPr>
        <w:t xml:space="preserve">izvršeni su u iznosu od </w:t>
      </w:r>
      <w:r w:rsidR="00E91CC4" w:rsidRPr="00143C34">
        <w:rPr>
          <w:color w:val="auto"/>
          <w:sz w:val="22"/>
          <w:szCs w:val="22"/>
        </w:rPr>
        <w:t>13.368.229,00</w:t>
      </w:r>
      <w:r w:rsidR="002F62F1" w:rsidRPr="00143C34">
        <w:rPr>
          <w:bCs/>
          <w:color w:val="auto"/>
          <w:sz w:val="22"/>
          <w:szCs w:val="22"/>
        </w:rPr>
        <w:t xml:space="preserve"> kn ili  </w:t>
      </w:r>
      <w:r w:rsidR="00E91CC4" w:rsidRPr="00143C34">
        <w:rPr>
          <w:bCs/>
          <w:color w:val="auto"/>
          <w:sz w:val="22"/>
          <w:szCs w:val="22"/>
        </w:rPr>
        <w:t>96,6</w:t>
      </w:r>
      <w:r w:rsidRPr="00143C34">
        <w:rPr>
          <w:bCs/>
          <w:color w:val="auto"/>
          <w:sz w:val="22"/>
          <w:szCs w:val="22"/>
        </w:rPr>
        <w:t>% u odnosu na godišnji plan.</w:t>
      </w:r>
    </w:p>
    <w:p w:rsidR="003F4F92" w:rsidRPr="00143C34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43C34">
        <w:rPr>
          <w:bCs/>
          <w:color w:val="auto"/>
          <w:sz w:val="22"/>
          <w:szCs w:val="22"/>
        </w:rPr>
        <w:t>Prema ekonomskoj klasifikaciji rashodi i izdaci su:</w:t>
      </w:r>
    </w:p>
    <w:p w:rsidR="003F4F92" w:rsidRPr="00143C34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43C34">
        <w:rPr>
          <w:bCs/>
          <w:color w:val="auto"/>
          <w:sz w:val="22"/>
          <w:szCs w:val="22"/>
        </w:rPr>
        <w:t>RASHODI POSLOVANJA</w:t>
      </w:r>
    </w:p>
    <w:p w:rsidR="003F4F92" w:rsidRPr="00143C34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43C34">
        <w:rPr>
          <w:bCs/>
          <w:color w:val="auto"/>
          <w:sz w:val="22"/>
          <w:szCs w:val="22"/>
        </w:rPr>
        <w:t>RASHODI ZA NABAVU NEFINANCIJSKE IMOVINE</w:t>
      </w:r>
    </w:p>
    <w:p w:rsidR="007B17C5" w:rsidRPr="00143C34" w:rsidRDefault="00E91CC4" w:rsidP="00E91CC4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43C34">
        <w:rPr>
          <w:bCs/>
          <w:color w:val="auto"/>
          <w:sz w:val="22"/>
          <w:szCs w:val="22"/>
        </w:rPr>
        <w:t>RASHODI ZA financijsku imovinu(udjeli u osnivanje društva)</w:t>
      </w:r>
    </w:p>
    <w:p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143C34" w:rsidRDefault="00143C3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143C34" w:rsidRDefault="00143C3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143C34" w:rsidRPr="00FA53F3" w:rsidRDefault="00143C3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E91CC4" w:rsidRPr="00C007EB" w:rsidRDefault="00E91CC4" w:rsidP="00E91CC4">
      <w:pPr>
        <w:pStyle w:val="Default"/>
        <w:jc w:val="both"/>
        <w:rPr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91CC4" w:rsidRPr="00143C34" w:rsidTr="00037712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Plan</w:t>
            </w:r>
          </w:p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Izvršenje</w:t>
            </w:r>
          </w:p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01.01 – 31.12. 2019.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Indeks</w:t>
            </w:r>
          </w:p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2/1</w:t>
            </w:r>
          </w:p>
        </w:tc>
      </w:tr>
      <w:tr w:rsidR="00E91CC4" w:rsidRPr="00143C34" w:rsidTr="00037712">
        <w:trPr>
          <w:trHeight w:val="340"/>
        </w:trPr>
        <w:tc>
          <w:tcPr>
            <w:tcW w:w="4395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</w:t>
            </w:r>
          </w:p>
        </w:tc>
      </w:tr>
      <w:tr w:rsidR="00E91CC4" w:rsidRPr="00143C34" w:rsidTr="00037712">
        <w:trPr>
          <w:trHeight w:val="397"/>
        </w:trPr>
        <w:tc>
          <w:tcPr>
            <w:tcW w:w="4395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Izdaci za financijsku imovinu 534</w:t>
            </w:r>
          </w:p>
        </w:tc>
        <w:tc>
          <w:tcPr>
            <w:tcW w:w="1559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843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275" w:type="dxa"/>
            <w:vAlign w:val="center"/>
          </w:tcPr>
          <w:p w:rsidR="00E91CC4" w:rsidRPr="00143C34" w:rsidRDefault="00E91CC4" w:rsidP="00037712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7B17C5" w:rsidRPr="00143C34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E91CC4" w:rsidRDefault="00E91CC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E91CC4" w:rsidRDefault="00E91CC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E91CC4" w:rsidRDefault="00E91CC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E91CC4" w:rsidRPr="00FA53F3" w:rsidRDefault="00E91CC4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671931" w:rsidRPr="00FA53F3" w:rsidRDefault="00671931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:rsidR="003F4F92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E232FB" w:rsidRPr="00143C34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43C34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  <w:u w:val="single"/>
        </w:rPr>
      </w:pPr>
      <w:r w:rsidRPr="00143C34">
        <w:rPr>
          <w:i/>
          <w:iCs/>
          <w:color w:val="auto"/>
          <w:sz w:val="22"/>
          <w:szCs w:val="22"/>
          <w:u w:val="single"/>
        </w:rPr>
        <w:t>RASHODI POSLOVANJA</w:t>
      </w:r>
    </w:p>
    <w:p w:rsidR="00580597" w:rsidRPr="00143C34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143C34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Plan</w:t>
            </w:r>
          </w:p>
          <w:p w:rsidR="007B17C5" w:rsidRPr="00143C34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2019</w:t>
            </w:r>
            <w:r w:rsidR="007B17C5" w:rsidRPr="00143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5" w:rsidRPr="00143C34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Izvršenje</w:t>
            </w:r>
          </w:p>
          <w:p w:rsidR="007B17C5" w:rsidRPr="00143C34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01.01 – 31.12</w:t>
            </w:r>
            <w:r w:rsidR="007B17C5" w:rsidRPr="00143C34">
              <w:rPr>
                <w:rFonts w:ascii="Times New Roman" w:hAnsi="Times New Roman" w:cs="Times New Roman"/>
              </w:rPr>
              <w:t>. 201</w:t>
            </w:r>
            <w:r w:rsidR="00671931" w:rsidRPr="00143C34">
              <w:rPr>
                <w:rFonts w:ascii="Times New Roman" w:hAnsi="Times New Roman" w:cs="Times New Roman"/>
              </w:rPr>
              <w:t>9</w:t>
            </w:r>
            <w:r w:rsidR="007B17C5" w:rsidRPr="00143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Indeks</w:t>
            </w:r>
          </w:p>
          <w:p w:rsidR="007B17C5" w:rsidRPr="00143C34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143C34" w:rsidTr="00DE5F31">
        <w:trPr>
          <w:trHeight w:val="340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143C34" w:rsidRDefault="00C007EB" w:rsidP="0081086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3.131.695,44</w:t>
            </w:r>
          </w:p>
        </w:tc>
        <w:tc>
          <w:tcPr>
            <w:tcW w:w="1843" w:type="dxa"/>
            <w:vAlign w:val="center"/>
          </w:tcPr>
          <w:p w:rsidR="003F4F92" w:rsidRPr="00143C34" w:rsidRDefault="00C007EB" w:rsidP="00C007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3.060.233,00</w:t>
            </w:r>
          </w:p>
        </w:tc>
        <w:tc>
          <w:tcPr>
            <w:tcW w:w="1275" w:type="dxa"/>
            <w:vAlign w:val="center"/>
          </w:tcPr>
          <w:p w:rsidR="003F4F92" w:rsidRPr="00143C34" w:rsidRDefault="00C007EB" w:rsidP="00C007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97,00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143C34" w:rsidRDefault="00C007EB" w:rsidP="0081086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3.689.654,59</w:t>
            </w:r>
          </w:p>
        </w:tc>
        <w:tc>
          <w:tcPr>
            <w:tcW w:w="1843" w:type="dxa"/>
            <w:vAlign w:val="center"/>
          </w:tcPr>
          <w:p w:rsidR="003F4F92" w:rsidRPr="00143C34" w:rsidRDefault="00C007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3.344.850,00</w:t>
            </w:r>
          </w:p>
        </w:tc>
        <w:tc>
          <w:tcPr>
            <w:tcW w:w="1275" w:type="dxa"/>
            <w:vAlign w:val="center"/>
          </w:tcPr>
          <w:p w:rsidR="003F4F92" w:rsidRPr="00143C34" w:rsidRDefault="00C007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90,00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77.500,00</w:t>
            </w:r>
          </w:p>
        </w:tc>
        <w:tc>
          <w:tcPr>
            <w:tcW w:w="1843" w:type="dxa"/>
            <w:vAlign w:val="center"/>
          </w:tcPr>
          <w:p w:rsidR="003F4F92" w:rsidRPr="00143C34" w:rsidRDefault="002D153F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70.499,00</w:t>
            </w:r>
          </w:p>
        </w:tc>
        <w:tc>
          <w:tcPr>
            <w:tcW w:w="1275" w:type="dxa"/>
            <w:vAlign w:val="center"/>
          </w:tcPr>
          <w:p w:rsidR="003F4F92" w:rsidRPr="00143C34" w:rsidRDefault="0055181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91,00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  <w:r w:rsidR="003F4F92" w:rsidRPr="00143C34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143C34" w:rsidTr="00DE5F31">
        <w:trPr>
          <w:trHeight w:val="631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143C34" w:rsidRDefault="002D153F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405.000,00</w:t>
            </w:r>
          </w:p>
        </w:tc>
        <w:tc>
          <w:tcPr>
            <w:tcW w:w="1843" w:type="dxa"/>
            <w:vAlign w:val="center"/>
          </w:tcPr>
          <w:p w:rsidR="007B17C5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377.651,00</w:t>
            </w:r>
          </w:p>
        </w:tc>
        <w:tc>
          <w:tcPr>
            <w:tcW w:w="1275" w:type="dxa"/>
            <w:vAlign w:val="center"/>
          </w:tcPr>
          <w:p w:rsidR="000450D6" w:rsidRPr="00143C34" w:rsidRDefault="00551813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93,2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  <w:r w:rsidR="007A74C8" w:rsidRPr="00143C34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872.200,00</w:t>
            </w:r>
          </w:p>
        </w:tc>
        <w:tc>
          <w:tcPr>
            <w:tcW w:w="1843" w:type="dxa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860.631,00</w:t>
            </w:r>
          </w:p>
        </w:tc>
        <w:tc>
          <w:tcPr>
            <w:tcW w:w="1275" w:type="dxa"/>
            <w:vAlign w:val="center"/>
          </w:tcPr>
          <w:p w:rsidR="003F4F92" w:rsidRPr="00143C34" w:rsidRDefault="00551813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98,7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1.414.143,22</w:t>
            </w:r>
          </w:p>
        </w:tc>
        <w:tc>
          <w:tcPr>
            <w:tcW w:w="1843" w:type="dxa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1.472.816,00</w:t>
            </w:r>
          </w:p>
        </w:tc>
        <w:tc>
          <w:tcPr>
            <w:tcW w:w="1275" w:type="dxa"/>
            <w:vAlign w:val="center"/>
          </w:tcPr>
          <w:p w:rsidR="003F4F92" w:rsidRPr="00143C34" w:rsidRDefault="00551813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104,1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3F3" w:rsidRPr="00143C34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10.113.870,77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143C34" w:rsidRDefault="002D153F" w:rsidP="002D153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9.709.897,00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143C34" w:rsidRDefault="0055181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96,00</w:t>
            </w:r>
            <w:r w:rsidR="00810868" w:rsidRPr="00143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F4F92" w:rsidRPr="00143C34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E232FB" w:rsidRPr="00657152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:rsidR="001C554E" w:rsidRPr="00143C34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>Rashodi za za</w:t>
      </w:r>
      <w:r w:rsidR="00F354C6" w:rsidRPr="00143C34">
        <w:rPr>
          <w:color w:val="auto"/>
          <w:sz w:val="22"/>
          <w:szCs w:val="22"/>
        </w:rPr>
        <w:t>poslene iz</w:t>
      </w:r>
      <w:r w:rsidR="007B292B" w:rsidRPr="00143C34">
        <w:rPr>
          <w:color w:val="auto"/>
          <w:sz w:val="22"/>
          <w:szCs w:val="22"/>
        </w:rPr>
        <w:t>vr</w:t>
      </w:r>
      <w:r w:rsidR="00174439" w:rsidRPr="00143C34">
        <w:rPr>
          <w:color w:val="auto"/>
          <w:sz w:val="22"/>
          <w:szCs w:val="22"/>
        </w:rPr>
        <w:t>šeni su u iznosu od 3.060.233,00</w:t>
      </w:r>
      <w:r w:rsidR="00476AC2" w:rsidRPr="00143C34">
        <w:rPr>
          <w:color w:val="auto"/>
          <w:sz w:val="22"/>
          <w:szCs w:val="22"/>
        </w:rPr>
        <w:t xml:space="preserve"> kn</w:t>
      </w:r>
    </w:p>
    <w:p w:rsidR="003F4F92" w:rsidRPr="00143C34" w:rsidRDefault="00476AC2" w:rsidP="00476AC2">
      <w:pPr>
        <w:pStyle w:val="Default"/>
        <w:ind w:left="284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 </w:t>
      </w:r>
      <w:r w:rsidR="00174439" w:rsidRPr="00143C34">
        <w:rPr>
          <w:color w:val="auto"/>
          <w:sz w:val="22"/>
          <w:szCs w:val="22"/>
        </w:rPr>
        <w:t xml:space="preserve"> </w:t>
      </w:r>
      <w:r w:rsidRPr="00143C34">
        <w:rPr>
          <w:color w:val="auto"/>
          <w:sz w:val="22"/>
          <w:szCs w:val="22"/>
        </w:rPr>
        <w:t>I</w:t>
      </w:r>
      <w:r w:rsidR="00174439" w:rsidRPr="00143C34">
        <w:rPr>
          <w:color w:val="auto"/>
          <w:sz w:val="22"/>
          <w:szCs w:val="22"/>
        </w:rPr>
        <w:t>li</w:t>
      </w:r>
      <w:r w:rsidRPr="00143C34">
        <w:rPr>
          <w:color w:val="auto"/>
          <w:sz w:val="22"/>
          <w:szCs w:val="22"/>
        </w:rPr>
        <w:t xml:space="preserve"> 97,00</w:t>
      </w:r>
      <w:r w:rsidR="00174439" w:rsidRPr="00143C34">
        <w:rPr>
          <w:color w:val="auto"/>
          <w:sz w:val="22"/>
          <w:szCs w:val="22"/>
        </w:rPr>
        <w:t xml:space="preserve"> </w:t>
      </w:r>
      <w:r w:rsidR="003F4F92" w:rsidRPr="00143C34">
        <w:rPr>
          <w:color w:val="auto"/>
          <w:sz w:val="22"/>
          <w:szCs w:val="22"/>
        </w:rPr>
        <w:t>%</w:t>
      </w:r>
      <w:r w:rsidRPr="00143C34">
        <w:rPr>
          <w:color w:val="auto"/>
          <w:sz w:val="22"/>
          <w:szCs w:val="22"/>
        </w:rPr>
        <w:t>, a odnosi</w:t>
      </w:r>
      <w:r w:rsidR="003F4F92" w:rsidRPr="00143C34">
        <w:rPr>
          <w:color w:val="auto"/>
          <w:sz w:val="22"/>
          <w:szCs w:val="22"/>
        </w:rPr>
        <w:t xml:space="preserve"> se na rashode za bruto plaće uposle</w:t>
      </w:r>
      <w:r w:rsidR="00114016" w:rsidRPr="00143C34">
        <w:rPr>
          <w:color w:val="auto"/>
          <w:sz w:val="22"/>
          <w:szCs w:val="22"/>
        </w:rPr>
        <w:t xml:space="preserve">nih dužnosnika, djelatnika JUO, djelatnika javnih radova i djelatnika </w:t>
      </w:r>
      <w:r w:rsidR="00F354C6" w:rsidRPr="00143C34">
        <w:rPr>
          <w:color w:val="auto"/>
          <w:sz w:val="22"/>
          <w:szCs w:val="22"/>
        </w:rPr>
        <w:t>Projekta Zaželi</w:t>
      </w:r>
      <w:r w:rsidRPr="00143C34">
        <w:rPr>
          <w:color w:val="auto"/>
          <w:sz w:val="22"/>
          <w:szCs w:val="22"/>
        </w:rPr>
        <w:t>,djelatnika projekta Sudjeluj i djelatnike projekta Competence NET.</w:t>
      </w:r>
    </w:p>
    <w:p w:rsidR="003F4F92" w:rsidRPr="00143C34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Materijalni rashodi izvršeni su u iznosu od </w:t>
      </w:r>
      <w:r w:rsidR="00476AC2" w:rsidRPr="00143C34">
        <w:rPr>
          <w:color w:val="auto"/>
          <w:sz w:val="22"/>
          <w:szCs w:val="22"/>
        </w:rPr>
        <w:t>3.344.850,00</w:t>
      </w:r>
      <w:r w:rsidR="00323959" w:rsidRPr="00143C34">
        <w:rPr>
          <w:color w:val="auto"/>
          <w:sz w:val="22"/>
          <w:szCs w:val="22"/>
        </w:rPr>
        <w:t xml:space="preserve"> </w:t>
      </w:r>
      <w:r w:rsidRPr="00143C34">
        <w:rPr>
          <w:color w:val="auto"/>
          <w:sz w:val="22"/>
          <w:szCs w:val="22"/>
        </w:rPr>
        <w:t xml:space="preserve">kn ili </w:t>
      </w:r>
      <w:r w:rsidR="00476AC2" w:rsidRPr="00143C34">
        <w:rPr>
          <w:color w:val="auto"/>
          <w:sz w:val="22"/>
          <w:szCs w:val="22"/>
        </w:rPr>
        <w:t>90,00</w:t>
      </w:r>
      <w:r w:rsidRPr="00143C34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143C34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>Financijski rash</w:t>
      </w:r>
      <w:r w:rsidR="00476AC2" w:rsidRPr="00143C34">
        <w:rPr>
          <w:color w:val="auto"/>
          <w:sz w:val="22"/>
          <w:szCs w:val="22"/>
        </w:rPr>
        <w:t>odi izvršeni su iznosu 70.499,00</w:t>
      </w:r>
      <w:r w:rsidR="00F354C6" w:rsidRPr="00143C34">
        <w:rPr>
          <w:color w:val="auto"/>
          <w:sz w:val="22"/>
          <w:szCs w:val="22"/>
        </w:rPr>
        <w:t xml:space="preserve"> </w:t>
      </w:r>
      <w:r w:rsidRPr="00143C34">
        <w:rPr>
          <w:color w:val="auto"/>
          <w:sz w:val="22"/>
          <w:szCs w:val="22"/>
        </w:rPr>
        <w:t xml:space="preserve">kn ili </w:t>
      </w:r>
      <w:r w:rsidR="00476AC2" w:rsidRPr="00143C34">
        <w:rPr>
          <w:color w:val="auto"/>
          <w:sz w:val="22"/>
          <w:szCs w:val="22"/>
        </w:rPr>
        <w:t>91,00</w:t>
      </w:r>
      <w:r w:rsidRPr="00143C34">
        <w:rPr>
          <w:color w:val="auto"/>
          <w:sz w:val="22"/>
          <w:szCs w:val="22"/>
        </w:rPr>
        <w:t>% u odnosu na planirano. Ovaj rashod či</w:t>
      </w:r>
      <w:r w:rsidR="00114016" w:rsidRPr="00143C34">
        <w:rPr>
          <w:color w:val="auto"/>
          <w:sz w:val="22"/>
          <w:szCs w:val="22"/>
        </w:rPr>
        <w:t>ne bankarske usluge,</w:t>
      </w:r>
      <w:r w:rsidRPr="00143C34">
        <w:rPr>
          <w:color w:val="auto"/>
          <w:sz w:val="22"/>
          <w:szCs w:val="22"/>
        </w:rPr>
        <w:t xml:space="preserve"> usluge platnog prometa</w:t>
      </w:r>
      <w:r w:rsidR="00323959" w:rsidRPr="00143C34">
        <w:rPr>
          <w:color w:val="auto"/>
          <w:sz w:val="22"/>
          <w:szCs w:val="22"/>
        </w:rPr>
        <w:t xml:space="preserve"> i izdvajanje 5</w:t>
      </w:r>
      <w:r w:rsidR="00114016" w:rsidRPr="00143C34">
        <w:rPr>
          <w:color w:val="auto"/>
          <w:sz w:val="22"/>
          <w:szCs w:val="22"/>
        </w:rPr>
        <w:t>% od poreznih prihoda</w:t>
      </w:r>
      <w:r w:rsidRPr="00143C34">
        <w:rPr>
          <w:color w:val="auto"/>
          <w:sz w:val="22"/>
          <w:szCs w:val="22"/>
        </w:rPr>
        <w:t>.</w:t>
      </w:r>
    </w:p>
    <w:p w:rsidR="003F4F92" w:rsidRPr="00143C34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</w:rPr>
        <w:t>Pomoći dane u inozemstvo i unu</w:t>
      </w:r>
      <w:r w:rsidR="00323959" w:rsidRPr="00143C34">
        <w:rPr>
          <w:color w:val="auto"/>
        </w:rPr>
        <w:t xml:space="preserve">tar opće države </w:t>
      </w:r>
      <w:r w:rsidR="00D31033" w:rsidRPr="00143C34">
        <w:rPr>
          <w:color w:val="auto"/>
        </w:rPr>
        <w:t xml:space="preserve"> realizirane</w:t>
      </w:r>
      <w:r w:rsidR="003C1AEC" w:rsidRPr="00143C34">
        <w:rPr>
          <w:color w:val="auto"/>
        </w:rPr>
        <w:t xml:space="preserve"> su u iznosu 377.651,00</w:t>
      </w:r>
      <w:r w:rsidR="001933D5" w:rsidRPr="00143C34">
        <w:rPr>
          <w:color w:val="auto"/>
        </w:rPr>
        <w:t xml:space="preserve"> </w:t>
      </w:r>
      <w:r w:rsidR="00323959" w:rsidRPr="00143C34">
        <w:rPr>
          <w:color w:val="auto"/>
        </w:rPr>
        <w:t xml:space="preserve">kn ili </w:t>
      </w:r>
      <w:r w:rsidR="003C1AEC" w:rsidRPr="00143C34">
        <w:rPr>
          <w:color w:val="auto"/>
        </w:rPr>
        <w:t>93,20</w:t>
      </w:r>
      <w:r w:rsidR="00323959" w:rsidRPr="00143C34">
        <w:rPr>
          <w:color w:val="auto"/>
        </w:rPr>
        <w:t>%</w:t>
      </w:r>
      <w:r w:rsidR="00F354C6" w:rsidRPr="00143C34">
        <w:rPr>
          <w:color w:val="auto"/>
        </w:rPr>
        <w:t xml:space="preserve"> o</w:t>
      </w:r>
      <w:r w:rsidR="00323959" w:rsidRPr="00143C34">
        <w:rPr>
          <w:color w:val="auto"/>
        </w:rPr>
        <w:t xml:space="preserve">dnose se na </w:t>
      </w:r>
      <w:r w:rsidR="000C6060" w:rsidRPr="00143C34">
        <w:rPr>
          <w:color w:val="auto"/>
        </w:rPr>
        <w:t xml:space="preserve">sufinanciranje </w:t>
      </w:r>
      <w:r w:rsidR="003C1AEC" w:rsidRPr="00143C34">
        <w:rPr>
          <w:color w:val="auto"/>
        </w:rPr>
        <w:t>plaća za djelatnike vrtića koji je proračunski korisnik Grada Iloka.</w:t>
      </w:r>
    </w:p>
    <w:p w:rsidR="003F4F92" w:rsidRPr="00143C34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>Naknade građanima i kućanstvima na temelju osiguranja i druge naknade real</w:t>
      </w:r>
      <w:r w:rsidR="003C1AEC" w:rsidRPr="00143C34">
        <w:rPr>
          <w:color w:val="auto"/>
          <w:sz w:val="22"/>
          <w:szCs w:val="22"/>
        </w:rPr>
        <w:t>izirane su u iznosu 1.472.816,00</w:t>
      </w:r>
      <w:r w:rsidR="000C6060" w:rsidRPr="00143C34">
        <w:rPr>
          <w:color w:val="auto"/>
          <w:sz w:val="22"/>
          <w:szCs w:val="22"/>
        </w:rPr>
        <w:t xml:space="preserve"> </w:t>
      </w:r>
      <w:r w:rsidR="003C1AEC" w:rsidRPr="00143C34">
        <w:rPr>
          <w:color w:val="auto"/>
          <w:sz w:val="22"/>
          <w:szCs w:val="22"/>
        </w:rPr>
        <w:t>kn ili  104,1</w:t>
      </w:r>
      <w:r w:rsidRPr="00143C34">
        <w:rPr>
          <w:color w:val="auto"/>
          <w:sz w:val="22"/>
          <w:szCs w:val="22"/>
        </w:rPr>
        <w:t xml:space="preserve">%. Najveći dio sredstava odnose se na sufinanciranje cijene karata za prijevoza srednjoškolaca, troškove stanovanja, naknade </w:t>
      </w:r>
      <w:r w:rsidR="00F354C6" w:rsidRPr="00143C34">
        <w:rPr>
          <w:color w:val="auto"/>
          <w:sz w:val="22"/>
          <w:szCs w:val="22"/>
        </w:rPr>
        <w:t>za svako novorođeno dijete</w:t>
      </w:r>
      <w:r w:rsidR="001933D5" w:rsidRPr="00143C34">
        <w:rPr>
          <w:color w:val="auto"/>
          <w:sz w:val="22"/>
          <w:szCs w:val="22"/>
        </w:rPr>
        <w:t>, jednokratne pomoći, paketiće za djecu od jedne godine života do završetka osnovne škole povodom Božičnih blagdana</w:t>
      </w:r>
      <w:r w:rsidR="003C1AEC" w:rsidRPr="00143C34">
        <w:rPr>
          <w:color w:val="auto"/>
          <w:sz w:val="22"/>
          <w:szCs w:val="22"/>
        </w:rPr>
        <w:t>, prijenos vjerskim organizacijama(crkvama , 2 katoličke i jedna pravoslavna), gorska služba, Crveni križ, DVD-u,civilna zaštita.</w:t>
      </w:r>
      <w:r w:rsidR="000C6060" w:rsidRPr="00143C34">
        <w:rPr>
          <w:color w:val="auto"/>
          <w:sz w:val="22"/>
          <w:szCs w:val="22"/>
        </w:rPr>
        <w:t xml:space="preserve"> </w:t>
      </w:r>
    </w:p>
    <w:p w:rsidR="008E2D47" w:rsidRPr="00143C34" w:rsidRDefault="003C1AEC" w:rsidP="008E2D47">
      <w:pPr>
        <w:pStyle w:val="Default"/>
        <w:jc w:val="both"/>
        <w:rPr>
          <w:color w:val="auto"/>
          <w:sz w:val="22"/>
          <w:szCs w:val="22"/>
        </w:rPr>
      </w:pPr>
      <w:r w:rsidRPr="00143C34">
        <w:rPr>
          <w:color w:val="auto"/>
          <w:sz w:val="22"/>
          <w:szCs w:val="22"/>
        </w:rPr>
        <w:t xml:space="preserve"> </w:t>
      </w:r>
    </w:p>
    <w:p w:rsidR="008E2D47" w:rsidRPr="00143C34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Pr="00143C34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E232FB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:rsidR="00E91CC4" w:rsidRDefault="00E91CC4" w:rsidP="008E2D47">
      <w:pPr>
        <w:pStyle w:val="Default"/>
        <w:jc w:val="both"/>
        <w:rPr>
          <w:color w:val="auto"/>
          <w:sz w:val="22"/>
          <w:szCs w:val="22"/>
        </w:rPr>
      </w:pPr>
    </w:p>
    <w:p w:rsidR="00E91CC4" w:rsidRDefault="00E91CC4" w:rsidP="008E2D47">
      <w:pPr>
        <w:pStyle w:val="Default"/>
        <w:jc w:val="both"/>
        <w:rPr>
          <w:color w:val="auto"/>
          <w:sz w:val="22"/>
          <w:szCs w:val="22"/>
        </w:rPr>
      </w:pPr>
    </w:p>
    <w:p w:rsidR="00E232FB" w:rsidRPr="00657152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:rsidR="003F4F92" w:rsidRPr="0065715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1966C8">
        <w:rPr>
          <w:bCs/>
          <w:i/>
          <w:iCs/>
          <w:color w:val="auto"/>
          <w:sz w:val="22"/>
          <w:szCs w:val="22"/>
        </w:rPr>
        <w:t>RASHODI ZA NABAVU NEFINANCIJSKE IMOVINE</w:t>
      </w:r>
    </w:p>
    <w:p w:rsidR="007D25F2" w:rsidRPr="00C007EB" w:rsidRDefault="007D25F2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143C34" w:rsidTr="00DE5F31">
        <w:tc>
          <w:tcPr>
            <w:tcW w:w="4395" w:type="dxa"/>
            <w:shd w:val="clear" w:color="auto" w:fill="FFFFFF"/>
            <w:vAlign w:val="center"/>
          </w:tcPr>
          <w:p w:rsidR="008E2D47" w:rsidRPr="00143C34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8E2D47" w:rsidRPr="00143C34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143C34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8E2D47" w:rsidRPr="00143C3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143C3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lastRenderedPageBreak/>
              <w:t>Plan</w:t>
            </w:r>
          </w:p>
          <w:p w:rsidR="008E2D47" w:rsidRPr="00143C34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984357" w:rsidRPr="00143C34">
              <w:rPr>
                <w:rFonts w:ascii="Times New Roman" w:hAnsi="Times New Roman" w:cs="Times New Roman"/>
                <w:b/>
              </w:rPr>
              <w:t>9</w:t>
            </w:r>
            <w:r w:rsidRPr="00143C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143C34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lastRenderedPageBreak/>
              <w:t>Izvršenje</w:t>
            </w:r>
          </w:p>
          <w:p w:rsidR="008E2D47" w:rsidRPr="00143C34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01.01 – 31.12.</w:t>
            </w:r>
            <w:r w:rsidR="008E2D47" w:rsidRPr="00143C34">
              <w:rPr>
                <w:rFonts w:ascii="Times New Roman" w:hAnsi="Times New Roman" w:cs="Times New Roman"/>
              </w:rPr>
              <w:t xml:space="preserve"> </w:t>
            </w:r>
            <w:r w:rsidR="008E2D47" w:rsidRPr="00143C34">
              <w:rPr>
                <w:rFonts w:ascii="Times New Roman" w:hAnsi="Times New Roman" w:cs="Times New Roman"/>
              </w:rPr>
              <w:lastRenderedPageBreak/>
              <w:t>201</w:t>
            </w:r>
            <w:r w:rsidR="00984357" w:rsidRPr="00143C34">
              <w:rPr>
                <w:rFonts w:ascii="Times New Roman" w:hAnsi="Times New Roman" w:cs="Times New Roman"/>
              </w:rPr>
              <w:t>9</w:t>
            </w:r>
            <w:r w:rsidR="008E2D47" w:rsidRPr="00143C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143C3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lastRenderedPageBreak/>
              <w:t>Indeks</w:t>
            </w:r>
          </w:p>
          <w:p w:rsidR="008E2D47" w:rsidRPr="00143C3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lastRenderedPageBreak/>
              <w:t>2/1</w:t>
            </w:r>
          </w:p>
        </w:tc>
      </w:tr>
      <w:tr w:rsidR="00FA53F3" w:rsidRPr="00143C34" w:rsidTr="00DE5F31">
        <w:trPr>
          <w:trHeight w:val="340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143C34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43C3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143C34" w:rsidRDefault="00C007EB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3.719.902,74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F4F92" w:rsidRPr="00143C34" w:rsidRDefault="00C007E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>3.658.332,00</w:t>
            </w:r>
            <w:r w:rsidR="00810868" w:rsidRPr="00143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F4F92" w:rsidRPr="00143C34" w:rsidRDefault="0081086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43C34">
              <w:rPr>
                <w:rFonts w:ascii="Times New Roman" w:hAnsi="Times New Roman" w:cs="Times New Roman"/>
              </w:rPr>
              <w:t xml:space="preserve"> </w:t>
            </w:r>
            <w:r w:rsidR="00C007EB" w:rsidRPr="00143C34">
              <w:rPr>
                <w:rFonts w:ascii="Times New Roman" w:hAnsi="Times New Roman" w:cs="Times New Roman"/>
              </w:rPr>
              <w:t>98,00</w:t>
            </w:r>
          </w:p>
        </w:tc>
      </w:tr>
      <w:tr w:rsidR="001933D5" w:rsidRPr="00143C34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1933D5" w:rsidRPr="00143C34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33D5" w:rsidRPr="00143C34" w:rsidRDefault="00C007EB" w:rsidP="0081086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3.719.902,74</w:t>
            </w:r>
            <w:r w:rsidR="00810868" w:rsidRPr="00143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933D5" w:rsidRPr="00143C34" w:rsidRDefault="00C007EB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>3.658.332,00</w:t>
            </w:r>
            <w:r w:rsidR="00810868" w:rsidRPr="00143C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33D5" w:rsidRPr="00143C34" w:rsidRDefault="00810868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43C34">
              <w:rPr>
                <w:rFonts w:ascii="Times New Roman" w:hAnsi="Times New Roman" w:cs="Times New Roman"/>
                <w:b/>
              </w:rPr>
              <w:t xml:space="preserve"> </w:t>
            </w:r>
            <w:r w:rsidR="00C007EB" w:rsidRPr="00143C34">
              <w:rPr>
                <w:rFonts w:ascii="Times New Roman" w:hAnsi="Times New Roman" w:cs="Times New Roman"/>
                <w:b/>
              </w:rPr>
              <w:t>98,00</w:t>
            </w:r>
          </w:p>
        </w:tc>
      </w:tr>
    </w:tbl>
    <w:p w:rsidR="003F4F92" w:rsidRDefault="003F4F92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p w:rsidR="009F32B3" w:rsidRPr="00C007EB" w:rsidRDefault="009F32B3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p w:rsidR="007D25F2" w:rsidRPr="00143C34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143C34">
        <w:rPr>
          <w:rFonts w:ascii="Times New Roman" w:hAnsi="Times New Roman" w:cs="Times New Roman"/>
        </w:rPr>
        <w:t>Rashodi za nabavu proizvedene dugotrajne imovine</w:t>
      </w:r>
      <w:r w:rsidR="003F4F92" w:rsidRPr="00143C34">
        <w:rPr>
          <w:rFonts w:ascii="Times New Roman" w:hAnsi="Times New Roman" w:cs="Times New Roman"/>
        </w:rPr>
        <w:t xml:space="preserve"> reali</w:t>
      </w:r>
      <w:r w:rsidR="00925262" w:rsidRPr="00143C34">
        <w:rPr>
          <w:rFonts w:ascii="Times New Roman" w:hAnsi="Times New Roman" w:cs="Times New Roman"/>
        </w:rPr>
        <w:t xml:space="preserve">zirani su u iznosu od </w:t>
      </w:r>
      <w:r w:rsidR="000841A2" w:rsidRPr="00143C34">
        <w:rPr>
          <w:rFonts w:ascii="Times New Roman" w:hAnsi="Times New Roman" w:cs="Times New Roman"/>
        </w:rPr>
        <w:t>3.658.332,00</w:t>
      </w:r>
      <w:r w:rsidR="003C1AEC" w:rsidRPr="00143C34">
        <w:rPr>
          <w:rFonts w:ascii="Times New Roman" w:hAnsi="Times New Roman" w:cs="Times New Roman"/>
        </w:rPr>
        <w:t xml:space="preserve"> kn ili 98,00</w:t>
      </w:r>
      <w:r w:rsidR="003F4F92" w:rsidRPr="00143C34">
        <w:rPr>
          <w:rFonts w:ascii="Times New Roman" w:hAnsi="Times New Roman" w:cs="Times New Roman"/>
        </w:rPr>
        <w:t>% od  p</w:t>
      </w:r>
      <w:r w:rsidR="00925262" w:rsidRPr="00143C34">
        <w:rPr>
          <w:rFonts w:ascii="Times New Roman" w:hAnsi="Times New Roman" w:cs="Times New Roman"/>
        </w:rPr>
        <w:t xml:space="preserve">laniranih. Rashodi se odnose na </w:t>
      </w:r>
      <w:r w:rsidR="003C1AEC" w:rsidRPr="00143C34">
        <w:rPr>
          <w:rFonts w:ascii="Times New Roman" w:hAnsi="Times New Roman" w:cs="Times New Roman"/>
        </w:rPr>
        <w:t xml:space="preserve">gradnju garaže u Tovarniku, nabavka računala i računalne opreme, uredskog namještaja </w:t>
      </w:r>
      <w:r w:rsidR="009F32B3" w:rsidRPr="00143C34">
        <w:rPr>
          <w:rFonts w:ascii="Times New Roman" w:hAnsi="Times New Roman" w:cs="Times New Roman"/>
        </w:rPr>
        <w:t>za obnovljenu zgradu stara ambulanta, namještaj za dječji vrtić,nabavka opreme –klima uređaji, kosilica, uređenje užeg centra Općine, dodatna ulaganja na zgradi vrtića, dodatna ulaganja na zgradi stare ambulante u Tovarniku, uređenje groblja, uređenje spomenika, izgradnja staza, izgradnja pumpe u Ilači i Tovarniku,izgradnja poljski puteva nabavka pokazni znakova, izgradnja cesta, izgradnja parkirališta, izgradnja pravoslavne mrtvačnice u Tovarniku, sportski i rekreacijski tereni.</w:t>
      </w:r>
      <w:r w:rsidR="008E2D47" w:rsidRPr="00143C34">
        <w:rPr>
          <w:rFonts w:ascii="Times New Roman" w:hAnsi="Times New Roman" w:cs="Times New Roman"/>
        </w:rPr>
        <w:t xml:space="preserve"> </w:t>
      </w:r>
      <w:r w:rsidR="003C1AEC" w:rsidRPr="00143C34">
        <w:rPr>
          <w:rFonts w:ascii="Times New Roman" w:hAnsi="Times New Roman" w:cs="Times New Roman"/>
        </w:rPr>
        <w:t xml:space="preserve"> </w:t>
      </w:r>
    </w:p>
    <w:p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A8C" w:rsidRDefault="00AF5F60" w:rsidP="00AF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 2.</w:t>
      </w:r>
    </w:p>
    <w:p w:rsidR="003C3637" w:rsidRPr="00B23891" w:rsidRDefault="003C3637" w:rsidP="003C36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B23891">
        <w:rPr>
          <w:rFonts w:ascii="Times New Roman" w:hAnsi="Times New Roman" w:cs="Times New Roman"/>
          <w:sz w:val="21"/>
          <w:szCs w:val="21"/>
        </w:rPr>
        <w:t>o usvajanju godišnjeg izvještaja  o izvršenju Proračuna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Općine Tovarnik</w:t>
      </w:r>
      <w:r w:rsidRPr="00B23891">
        <w:rPr>
          <w:rFonts w:ascii="Times New Roman" w:hAnsi="Times New Roman" w:cs="Times New Roman"/>
          <w:sz w:val="21"/>
          <w:szCs w:val="21"/>
        </w:rPr>
        <w:t xml:space="preserve"> za 201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B23891">
        <w:rPr>
          <w:rFonts w:ascii="Times New Roman" w:hAnsi="Times New Roman" w:cs="Times New Roman"/>
          <w:sz w:val="21"/>
          <w:szCs w:val="21"/>
        </w:rPr>
        <w:t>. godinu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stupa na snagu osmog dana od dana objave u „Službenom vjesniku“ Vukovarsko-srijemske županije.</w:t>
      </w:r>
    </w:p>
    <w:p w:rsidR="003C3637" w:rsidRDefault="003C3637" w:rsidP="003C36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C3637" w:rsidRPr="00B23891" w:rsidRDefault="003C3637" w:rsidP="003C36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AF5F60" w:rsidRDefault="00AF5F60" w:rsidP="007D6A4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AF5F60" w:rsidRDefault="00AF5F60" w:rsidP="007D6A4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AF5F60" w:rsidRDefault="00AF5F60" w:rsidP="007D6A4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NAČELNICA OPĆINE TOVARNIK</w:t>
      </w:r>
    </w:p>
    <w:p w:rsidR="000F76C0" w:rsidRPr="00DF0DD3" w:rsidRDefault="00AF5F60" w:rsidP="007D6A4A">
      <w:pPr>
        <w:spacing w:after="0" w:line="240" w:lineRule="auto"/>
        <w:ind w:left="4248"/>
        <w:jc w:val="center"/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Ruža V.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>Šijaković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3C3637">
        <w:rPr>
          <w:rFonts w:ascii="Times New Roman" w:eastAsia="Times New Roman" w:hAnsi="Times New Roman"/>
          <w:b/>
          <w:lang w:eastAsia="hr-HR"/>
        </w:rPr>
        <w:t xml:space="preserve"> </w:t>
      </w:r>
    </w:p>
    <w:sectPr w:rsidR="000F76C0" w:rsidRPr="00DF0DD3" w:rsidSect="00FE494B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4" w:rsidRDefault="005252E4">
      <w:pPr>
        <w:spacing w:after="0" w:line="240" w:lineRule="auto"/>
      </w:pPr>
      <w:r>
        <w:separator/>
      </w:r>
    </w:p>
  </w:endnote>
  <w:endnote w:type="continuationSeparator" w:id="0">
    <w:p w:rsidR="005252E4" w:rsidRDefault="0052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1C" w:rsidRDefault="005029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1C" w:rsidRDefault="005029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1C" w:rsidRDefault="00502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4" w:rsidRDefault="005252E4">
      <w:pPr>
        <w:spacing w:after="0" w:line="240" w:lineRule="auto"/>
      </w:pPr>
      <w:r>
        <w:separator/>
      </w:r>
    </w:p>
  </w:footnote>
  <w:footnote w:type="continuationSeparator" w:id="0">
    <w:p w:rsidR="005252E4" w:rsidRDefault="0052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1C" w:rsidRDefault="005029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1C" w:rsidRDefault="0050291C">
    <w:pPr>
      <w:pStyle w:val="Zaglavlje"/>
    </w:pPr>
  </w:p>
  <w:p w:rsidR="0050291C" w:rsidRDefault="0050291C">
    <w:pPr>
      <w:pStyle w:val="Zaglavlje"/>
    </w:pPr>
  </w:p>
  <w:p w:rsidR="0050291C" w:rsidRDefault="0050291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1C" w:rsidRDefault="005029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2B90"/>
    <w:rsid w:val="00007840"/>
    <w:rsid w:val="00007F57"/>
    <w:rsid w:val="0001219C"/>
    <w:rsid w:val="00013C22"/>
    <w:rsid w:val="00025C1B"/>
    <w:rsid w:val="00027398"/>
    <w:rsid w:val="00032BCD"/>
    <w:rsid w:val="00037712"/>
    <w:rsid w:val="00040F24"/>
    <w:rsid w:val="000450D6"/>
    <w:rsid w:val="000526C7"/>
    <w:rsid w:val="00056757"/>
    <w:rsid w:val="00071225"/>
    <w:rsid w:val="000762CE"/>
    <w:rsid w:val="000841A2"/>
    <w:rsid w:val="000936B7"/>
    <w:rsid w:val="000A6CAA"/>
    <w:rsid w:val="000C6060"/>
    <w:rsid w:val="000D4B7B"/>
    <w:rsid w:val="000E6F58"/>
    <w:rsid w:val="000F76C0"/>
    <w:rsid w:val="00114016"/>
    <w:rsid w:val="00124B18"/>
    <w:rsid w:val="00125342"/>
    <w:rsid w:val="00143C34"/>
    <w:rsid w:val="00161CD7"/>
    <w:rsid w:val="00170D67"/>
    <w:rsid w:val="00174439"/>
    <w:rsid w:val="00180B56"/>
    <w:rsid w:val="00181253"/>
    <w:rsid w:val="001933D5"/>
    <w:rsid w:val="001966C8"/>
    <w:rsid w:val="00197837"/>
    <w:rsid w:val="001A6C7F"/>
    <w:rsid w:val="001B2ED2"/>
    <w:rsid w:val="001B34D4"/>
    <w:rsid w:val="001C154F"/>
    <w:rsid w:val="001C3160"/>
    <w:rsid w:val="001C554E"/>
    <w:rsid w:val="001E1BA0"/>
    <w:rsid w:val="00202BBF"/>
    <w:rsid w:val="002041CC"/>
    <w:rsid w:val="00204B39"/>
    <w:rsid w:val="00205E1F"/>
    <w:rsid w:val="00206B02"/>
    <w:rsid w:val="002121C1"/>
    <w:rsid w:val="0021584B"/>
    <w:rsid w:val="00223BB8"/>
    <w:rsid w:val="002242CB"/>
    <w:rsid w:val="002764DE"/>
    <w:rsid w:val="00283154"/>
    <w:rsid w:val="002911B0"/>
    <w:rsid w:val="00292787"/>
    <w:rsid w:val="002A29EA"/>
    <w:rsid w:val="002C15B8"/>
    <w:rsid w:val="002C721D"/>
    <w:rsid w:val="002C79FE"/>
    <w:rsid w:val="002D153F"/>
    <w:rsid w:val="002D68F8"/>
    <w:rsid w:val="002E73E9"/>
    <w:rsid w:val="002F3FD0"/>
    <w:rsid w:val="002F62F1"/>
    <w:rsid w:val="00316921"/>
    <w:rsid w:val="00323959"/>
    <w:rsid w:val="00335949"/>
    <w:rsid w:val="00335EF4"/>
    <w:rsid w:val="00344527"/>
    <w:rsid w:val="00353944"/>
    <w:rsid w:val="003578D2"/>
    <w:rsid w:val="0036331A"/>
    <w:rsid w:val="00367F36"/>
    <w:rsid w:val="00376554"/>
    <w:rsid w:val="00376C1D"/>
    <w:rsid w:val="00380AE0"/>
    <w:rsid w:val="00383433"/>
    <w:rsid w:val="00383EE3"/>
    <w:rsid w:val="003874D4"/>
    <w:rsid w:val="00387E5D"/>
    <w:rsid w:val="00390682"/>
    <w:rsid w:val="00391372"/>
    <w:rsid w:val="00394303"/>
    <w:rsid w:val="003968FD"/>
    <w:rsid w:val="00396F65"/>
    <w:rsid w:val="003A3954"/>
    <w:rsid w:val="003A555A"/>
    <w:rsid w:val="003A734A"/>
    <w:rsid w:val="003B05B9"/>
    <w:rsid w:val="003B27F9"/>
    <w:rsid w:val="003B2907"/>
    <w:rsid w:val="003B6A83"/>
    <w:rsid w:val="003C13E9"/>
    <w:rsid w:val="003C1AEC"/>
    <w:rsid w:val="003C3637"/>
    <w:rsid w:val="003C41B8"/>
    <w:rsid w:val="003D13E9"/>
    <w:rsid w:val="003E145F"/>
    <w:rsid w:val="003F02F6"/>
    <w:rsid w:val="003F4F92"/>
    <w:rsid w:val="00406476"/>
    <w:rsid w:val="00422E86"/>
    <w:rsid w:val="0043223F"/>
    <w:rsid w:val="004347F1"/>
    <w:rsid w:val="004354BA"/>
    <w:rsid w:val="00435D0C"/>
    <w:rsid w:val="00471D8B"/>
    <w:rsid w:val="00475138"/>
    <w:rsid w:val="00476AC2"/>
    <w:rsid w:val="00487634"/>
    <w:rsid w:val="004A6056"/>
    <w:rsid w:val="004B0BB5"/>
    <w:rsid w:val="004D5C99"/>
    <w:rsid w:val="004D75B5"/>
    <w:rsid w:val="004E510E"/>
    <w:rsid w:val="004E7A56"/>
    <w:rsid w:val="0050291C"/>
    <w:rsid w:val="00523110"/>
    <w:rsid w:val="005252E4"/>
    <w:rsid w:val="00526D8E"/>
    <w:rsid w:val="00541478"/>
    <w:rsid w:val="005429B3"/>
    <w:rsid w:val="00547E4A"/>
    <w:rsid w:val="005503BD"/>
    <w:rsid w:val="00551813"/>
    <w:rsid w:val="0056037E"/>
    <w:rsid w:val="0056140C"/>
    <w:rsid w:val="00570CA2"/>
    <w:rsid w:val="00577AC8"/>
    <w:rsid w:val="00580597"/>
    <w:rsid w:val="00583DF1"/>
    <w:rsid w:val="00584C07"/>
    <w:rsid w:val="00590A89"/>
    <w:rsid w:val="005C16CA"/>
    <w:rsid w:val="005C307F"/>
    <w:rsid w:val="005C4F42"/>
    <w:rsid w:val="005C5B87"/>
    <w:rsid w:val="005D0C97"/>
    <w:rsid w:val="005D28BF"/>
    <w:rsid w:val="005D2F1A"/>
    <w:rsid w:val="005D433E"/>
    <w:rsid w:val="005D43B9"/>
    <w:rsid w:val="005E3466"/>
    <w:rsid w:val="005E7C26"/>
    <w:rsid w:val="005F67B5"/>
    <w:rsid w:val="00607C4B"/>
    <w:rsid w:val="0061417A"/>
    <w:rsid w:val="006272C4"/>
    <w:rsid w:val="0064197B"/>
    <w:rsid w:val="006506F5"/>
    <w:rsid w:val="006509B5"/>
    <w:rsid w:val="006531D8"/>
    <w:rsid w:val="00657152"/>
    <w:rsid w:val="006626F9"/>
    <w:rsid w:val="006658B3"/>
    <w:rsid w:val="006662F9"/>
    <w:rsid w:val="006709C7"/>
    <w:rsid w:val="00671931"/>
    <w:rsid w:val="00677B46"/>
    <w:rsid w:val="00694423"/>
    <w:rsid w:val="006A1A5A"/>
    <w:rsid w:val="006A4228"/>
    <w:rsid w:val="006C4888"/>
    <w:rsid w:val="006D5DBA"/>
    <w:rsid w:val="006E705D"/>
    <w:rsid w:val="006F33D8"/>
    <w:rsid w:val="00701874"/>
    <w:rsid w:val="00705282"/>
    <w:rsid w:val="0071681C"/>
    <w:rsid w:val="00722D6B"/>
    <w:rsid w:val="00726918"/>
    <w:rsid w:val="00731BED"/>
    <w:rsid w:val="007400D0"/>
    <w:rsid w:val="007526A7"/>
    <w:rsid w:val="0077184F"/>
    <w:rsid w:val="007A74C8"/>
    <w:rsid w:val="007B17C5"/>
    <w:rsid w:val="007B292B"/>
    <w:rsid w:val="007B3457"/>
    <w:rsid w:val="007B7509"/>
    <w:rsid w:val="007C02B0"/>
    <w:rsid w:val="007C2350"/>
    <w:rsid w:val="007C5F7B"/>
    <w:rsid w:val="007D25F2"/>
    <w:rsid w:val="007D6A4A"/>
    <w:rsid w:val="007F49DE"/>
    <w:rsid w:val="00800E99"/>
    <w:rsid w:val="00810868"/>
    <w:rsid w:val="008222AF"/>
    <w:rsid w:val="0083382C"/>
    <w:rsid w:val="00836579"/>
    <w:rsid w:val="00836B7B"/>
    <w:rsid w:val="00841758"/>
    <w:rsid w:val="00847F9F"/>
    <w:rsid w:val="00855268"/>
    <w:rsid w:val="008554E2"/>
    <w:rsid w:val="00863691"/>
    <w:rsid w:val="008659F8"/>
    <w:rsid w:val="00882C27"/>
    <w:rsid w:val="00887D73"/>
    <w:rsid w:val="008A60E0"/>
    <w:rsid w:val="008A6C0C"/>
    <w:rsid w:val="008B1568"/>
    <w:rsid w:val="008B24EB"/>
    <w:rsid w:val="008B3BD3"/>
    <w:rsid w:val="008B77F4"/>
    <w:rsid w:val="008C4E47"/>
    <w:rsid w:val="008D5A8C"/>
    <w:rsid w:val="008E2D47"/>
    <w:rsid w:val="008F41E3"/>
    <w:rsid w:val="008F4B7A"/>
    <w:rsid w:val="008F7759"/>
    <w:rsid w:val="00904C2B"/>
    <w:rsid w:val="00907BDF"/>
    <w:rsid w:val="009113F3"/>
    <w:rsid w:val="00914A40"/>
    <w:rsid w:val="00925262"/>
    <w:rsid w:val="00964FF5"/>
    <w:rsid w:val="0097165E"/>
    <w:rsid w:val="00976FD1"/>
    <w:rsid w:val="00984357"/>
    <w:rsid w:val="009A04BA"/>
    <w:rsid w:val="009A7C48"/>
    <w:rsid w:val="009B293F"/>
    <w:rsid w:val="009B3AAE"/>
    <w:rsid w:val="009B5142"/>
    <w:rsid w:val="009C2713"/>
    <w:rsid w:val="009C7C17"/>
    <w:rsid w:val="009E5CCA"/>
    <w:rsid w:val="009E5F6D"/>
    <w:rsid w:val="009F1FD9"/>
    <w:rsid w:val="009F32B3"/>
    <w:rsid w:val="009F73B3"/>
    <w:rsid w:val="00A253C9"/>
    <w:rsid w:val="00A25F8E"/>
    <w:rsid w:val="00A27780"/>
    <w:rsid w:val="00A468D8"/>
    <w:rsid w:val="00A47BD6"/>
    <w:rsid w:val="00A512A3"/>
    <w:rsid w:val="00A560A9"/>
    <w:rsid w:val="00A565B2"/>
    <w:rsid w:val="00A701E6"/>
    <w:rsid w:val="00A93DC8"/>
    <w:rsid w:val="00AA0224"/>
    <w:rsid w:val="00AA578B"/>
    <w:rsid w:val="00AA7904"/>
    <w:rsid w:val="00AB21D8"/>
    <w:rsid w:val="00AB2973"/>
    <w:rsid w:val="00AB5540"/>
    <w:rsid w:val="00AD11BF"/>
    <w:rsid w:val="00AD308A"/>
    <w:rsid w:val="00AD4997"/>
    <w:rsid w:val="00AE1973"/>
    <w:rsid w:val="00AE443C"/>
    <w:rsid w:val="00AF5F60"/>
    <w:rsid w:val="00AF617E"/>
    <w:rsid w:val="00B00245"/>
    <w:rsid w:val="00B12DDA"/>
    <w:rsid w:val="00B36033"/>
    <w:rsid w:val="00B53A87"/>
    <w:rsid w:val="00B74A48"/>
    <w:rsid w:val="00B81890"/>
    <w:rsid w:val="00B818A9"/>
    <w:rsid w:val="00B83F34"/>
    <w:rsid w:val="00B87660"/>
    <w:rsid w:val="00B95B26"/>
    <w:rsid w:val="00BA6469"/>
    <w:rsid w:val="00BC04B3"/>
    <w:rsid w:val="00BC7044"/>
    <w:rsid w:val="00BD6AE2"/>
    <w:rsid w:val="00BD6CA2"/>
    <w:rsid w:val="00BE0308"/>
    <w:rsid w:val="00BE044B"/>
    <w:rsid w:val="00C007EB"/>
    <w:rsid w:val="00C04C69"/>
    <w:rsid w:val="00C06BF4"/>
    <w:rsid w:val="00C173E4"/>
    <w:rsid w:val="00C20F5B"/>
    <w:rsid w:val="00C22FBA"/>
    <w:rsid w:val="00C30DC8"/>
    <w:rsid w:val="00C351EC"/>
    <w:rsid w:val="00C407C1"/>
    <w:rsid w:val="00C4427E"/>
    <w:rsid w:val="00C4728C"/>
    <w:rsid w:val="00C51968"/>
    <w:rsid w:val="00C54DF0"/>
    <w:rsid w:val="00C574C0"/>
    <w:rsid w:val="00C60F41"/>
    <w:rsid w:val="00C66AF9"/>
    <w:rsid w:val="00C813D1"/>
    <w:rsid w:val="00C81FAA"/>
    <w:rsid w:val="00C8532D"/>
    <w:rsid w:val="00C87CCE"/>
    <w:rsid w:val="00CA3F39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21F7E"/>
    <w:rsid w:val="00D31033"/>
    <w:rsid w:val="00D348B6"/>
    <w:rsid w:val="00D357D5"/>
    <w:rsid w:val="00D675EE"/>
    <w:rsid w:val="00D712E4"/>
    <w:rsid w:val="00D71EB2"/>
    <w:rsid w:val="00D83227"/>
    <w:rsid w:val="00D83326"/>
    <w:rsid w:val="00DA4794"/>
    <w:rsid w:val="00DA5C4F"/>
    <w:rsid w:val="00DB37D0"/>
    <w:rsid w:val="00DC0BAC"/>
    <w:rsid w:val="00DC1F00"/>
    <w:rsid w:val="00DC4A09"/>
    <w:rsid w:val="00DD2D8B"/>
    <w:rsid w:val="00DD5C96"/>
    <w:rsid w:val="00DE1A43"/>
    <w:rsid w:val="00DE40E2"/>
    <w:rsid w:val="00DE4EFB"/>
    <w:rsid w:val="00DE5F31"/>
    <w:rsid w:val="00DE64BE"/>
    <w:rsid w:val="00DF3042"/>
    <w:rsid w:val="00DF392A"/>
    <w:rsid w:val="00DF4459"/>
    <w:rsid w:val="00DF668B"/>
    <w:rsid w:val="00DF7EA5"/>
    <w:rsid w:val="00E16F7F"/>
    <w:rsid w:val="00E232FB"/>
    <w:rsid w:val="00E23CB1"/>
    <w:rsid w:val="00E23FBB"/>
    <w:rsid w:val="00E319C4"/>
    <w:rsid w:val="00E37801"/>
    <w:rsid w:val="00E474F0"/>
    <w:rsid w:val="00E57748"/>
    <w:rsid w:val="00E74DAD"/>
    <w:rsid w:val="00E91CC4"/>
    <w:rsid w:val="00E95E8F"/>
    <w:rsid w:val="00EA2C46"/>
    <w:rsid w:val="00EA3C81"/>
    <w:rsid w:val="00EA6F69"/>
    <w:rsid w:val="00EB471E"/>
    <w:rsid w:val="00EB7273"/>
    <w:rsid w:val="00EC1619"/>
    <w:rsid w:val="00EC1CC0"/>
    <w:rsid w:val="00EC4D5E"/>
    <w:rsid w:val="00EC632E"/>
    <w:rsid w:val="00EC6F99"/>
    <w:rsid w:val="00ED040D"/>
    <w:rsid w:val="00ED7A14"/>
    <w:rsid w:val="00EF5992"/>
    <w:rsid w:val="00F033FD"/>
    <w:rsid w:val="00F14547"/>
    <w:rsid w:val="00F2563C"/>
    <w:rsid w:val="00F354C6"/>
    <w:rsid w:val="00F36C51"/>
    <w:rsid w:val="00F56392"/>
    <w:rsid w:val="00F6155F"/>
    <w:rsid w:val="00F61D38"/>
    <w:rsid w:val="00F64A55"/>
    <w:rsid w:val="00F71D1B"/>
    <w:rsid w:val="00F77BE1"/>
    <w:rsid w:val="00FA2F4D"/>
    <w:rsid w:val="00FA53F3"/>
    <w:rsid w:val="00FB0F20"/>
    <w:rsid w:val="00FB1AD5"/>
    <w:rsid w:val="00FC1112"/>
    <w:rsid w:val="00FC1B74"/>
    <w:rsid w:val="00FC54DF"/>
    <w:rsid w:val="00FC593F"/>
    <w:rsid w:val="00FD7F38"/>
    <w:rsid w:val="00FE494B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33456-1074-40C6-BFEA-90C662D5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18D7-6ADB-4FE2-A46C-8A5BB1B0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2</cp:revision>
  <cp:lastPrinted>2020-05-15T11:35:00Z</cp:lastPrinted>
  <dcterms:created xsi:type="dcterms:W3CDTF">2020-05-15T11:54:00Z</dcterms:created>
  <dcterms:modified xsi:type="dcterms:W3CDTF">2020-05-15T11:54:00Z</dcterms:modified>
</cp:coreProperties>
</file>